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6"/>
        <w:spacing w:before="120" w:beforeAutospacing="0" w:after="120" w:afterAutospacing="0" w:line="360" w:lineRule="auto"/>
        <w:rPr>
          <w:color w:val="auto"/>
          <w:highlight w:val="none"/>
        </w:rPr>
      </w:pPr>
      <w:r>
        <w:rPr>
          <w:color w:val="auto"/>
          <w:highlight w:val="none"/>
        </w:rPr>
        <w:t> </w:t>
      </w:r>
    </w:p>
    <w:p w14:paraId="0260B6D8">
      <w:pPr>
        <w:pStyle w:val="16"/>
        <w:spacing w:before="120" w:beforeAutospacing="0" w:after="120" w:afterAutospacing="0" w:line="360" w:lineRule="auto"/>
        <w:jc w:val="center"/>
        <w:rPr>
          <w:rFonts w:ascii="Arial" w:hAnsi="Arial" w:cs="Arial"/>
          <w:b/>
          <w:color w:val="auto"/>
          <w:sz w:val="84"/>
          <w:szCs w:val="84"/>
          <w:highlight w:val="none"/>
        </w:rPr>
      </w:pPr>
      <w:r>
        <w:rPr>
          <w:rFonts w:ascii="Arial" w:hAnsi="Arial" w:cs="Arial"/>
          <w:b/>
          <w:color w:val="auto"/>
          <w:sz w:val="84"/>
          <w:szCs w:val="84"/>
          <w:highlight w:val="none"/>
        </w:rPr>
        <w:t>竞争性磋商文件</w:t>
      </w:r>
    </w:p>
    <w:p w14:paraId="23FE337F">
      <w:pPr>
        <w:pStyle w:val="16"/>
        <w:spacing w:before="120" w:beforeAutospacing="0" w:after="120" w:afterAutospacing="0" w:line="360" w:lineRule="auto"/>
        <w:jc w:val="center"/>
        <w:rPr>
          <w:rFonts w:ascii="Arial" w:hAnsi="Arial" w:cs="Arial"/>
          <w:b/>
          <w:color w:val="auto"/>
          <w:sz w:val="84"/>
          <w:szCs w:val="84"/>
          <w:highlight w:val="none"/>
        </w:rPr>
      </w:pPr>
    </w:p>
    <w:p w14:paraId="7AE976AB">
      <w:pPr>
        <w:pStyle w:val="24"/>
        <w:ind w:left="0" w:leftChars="0" w:firstLine="0" w:firstLineChars="0"/>
        <w:rPr>
          <w:b/>
          <w:bCs/>
          <w:spacing w:val="-10"/>
          <w:sz w:val="36"/>
          <w:szCs w:val="36"/>
          <w:u w:val="singl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亭湖区</w:t>
      </w:r>
      <w:r>
        <w:rPr>
          <w:rFonts w:hint="eastAsia" w:ascii="Arial" w:hAnsi="Arial" w:cs="Arial"/>
          <w:b/>
          <w:color w:val="auto"/>
          <w:sz w:val="32"/>
          <w:szCs w:val="32"/>
          <w:highlight w:val="none"/>
          <w:lang w:val="en-US" w:eastAsia="zh-CN"/>
        </w:rPr>
        <w:t>2025年</w:t>
      </w:r>
      <w:r>
        <w:rPr>
          <w:rFonts w:hint="eastAsia" w:ascii="Arial" w:hAnsi="Arial" w:cs="Arial"/>
          <w:b/>
          <w:color w:val="auto"/>
          <w:sz w:val="32"/>
          <w:szCs w:val="32"/>
          <w:highlight w:val="none"/>
        </w:rPr>
        <w:t>“七鱼三菜两蛋”专项农贸市场快检服务项目</w:t>
      </w:r>
    </w:p>
    <w:p w14:paraId="60175FE5">
      <w:pPr>
        <w:pStyle w:val="16"/>
        <w:spacing w:before="120" w:beforeAutospacing="0" w:after="120" w:afterAutospacing="0" w:line="360" w:lineRule="auto"/>
        <w:ind w:firstLine="2249"/>
        <w:rPr>
          <w:rFonts w:ascii="Arial" w:hAnsi="Arial" w:cs="Arial"/>
          <w:b/>
          <w:color w:val="auto"/>
          <w:sz w:val="32"/>
          <w:szCs w:val="32"/>
          <w:highlight w:val="none"/>
        </w:rPr>
      </w:pPr>
    </w:p>
    <w:p w14:paraId="5BAD00F2">
      <w:pPr>
        <w:pStyle w:val="16"/>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项目编号</w:t>
      </w:r>
      <w:r>
        <w:rPr>
          <w:rFonts w:hint="eastAsia" w:ascii="Arial" w:hAnsi="Arial" w:cs="Arial"/>
          <w:b/>
          <w:color w:val="auto"/>
          <w:sz w:val="32"/>
          <w:szCs w:val="32"/>
          <w:highlight w:val="none"/>
          <w:lang w:eastAsia="zh-CN"/>
        </w:rPr>
        <w:t>：</w:t>
      </w:r>
      <w:r>
        <w:rPr>
          <w:rFonts w:hint="eastAsia" w:ascii="Arial" w:hAnsi="Arial" w:eastAsia="等线" w:cs="Arial"/>
          <w:b/>
          <w:color w:val="auto"/>
          <w:kern w:val="2"/>
          <w:sz w:val="32"/>
          <w:szCs w:val="32"/>
          <w:highlight w:val="none"/>
          <w:lang w:val="en-US" w:eastAsia="zh-CN" w:bidi="ar-SA"/>
        </w:rPr>
        <w:t>JSZC-320902-HPXM-C2025-0005</w:t>
      </w:r>
    </w:p>
    <w:p w14:paraId="0FF7014A">
      <w:pPr>
        <w:pStyle w:val="16"/>
        <w:spacing w:beforeAutospacing="0" w:afterAutospacing="0" w:line="360" w:lineRule="auto"/>
        <w:rPr>
          <w:color w:val="auto"/>
          <w:highlight w:val="none"/>
        </w:rPr>
      </w:pPr>
      <w:r>
        <w:rPr>
          <w:color w:val="auto"/>
          <w:highlight w:val="none"/>
        </w:rPr>
        <w:t> </w:t>
      </w:r>
    </w:p>
    <w:p w14:paraId="556DF0DC">
      <w:pPr>
        <w:pStyle w:val="16"/>
        <w:spacing w:beforeAutospacing="0" w:afterAutospacing="0" w:line="360" w:lineRule="auto"/>
        <w:rPr>
          <w:color w:val="auto"/>
          <w:highlight w:val="none"/>
        </w:rPr>
      </w:pPr>
      <w:r>
        <w:rPr>
          <w:color w:val="auto"/>
          <w:highlight w:val="none"/>
        </w:rPr>
        <w:t> </w:t>
      </w:r>
    </w:p>
    <w:p w14:paraId="05502139">
      <w:pPr>
        <w:pStyle w:val="16"/>
        <w:spacing w:beforeAutospacing="0" w:afterAutospacing="0" w:line="360" w:lineRule="auto"/>
        <w:rPr>
          <w:color w:val="auto"/>
          <w:highlight w:val="none"/>
        </w:rPr>
      </w:pPr>
      <w:r>
        <w:rPr>
          <w:color w:val="auto"/>
          <w:highlight w:val="none"/>
        </w:rPr>
        <w:t> </w:t>
      </w:r>
    </w:p>
    <w:p w14:paraId="50085B47">
      <w:pPr>
        <w:pStyle w:val="16"/>
        <w:spacing w:beforeAutospacing="0" w:afterAutospacing="0" w:line="360" w:lineRule="auto"/>
        <w:rPr>
          <w:color w:val="auto"/>
          <w:highlight w:val="none"/>
        </w:rPr>
      </w:pPr>
      <w:r>
        <w:rPr>
          <w:color w:val="auto"/>
          <w:highlight w:val="none"/>
        </w:rPr>
        <w:t> </w:t>
      </w:r>
    </w:p>
    <w:p w14:paraId="07C0ECD4">
      <w:pPr>
        <w:pStyle w:val="16"/>
        <w:spacing w:beforeAutospacing="0" w:afterAutospacing="0" w:line="360" w:lineRule="auto"/>
        <w:rPr>
          <w:color w:val="auto"/>
          <w:highlight w:val="none"/>
        </w:rPr>
      </w:pPr>
      <w:r>
        <w:rPr>
          <w:color w:val="auto"/>
          <w:highlight w:val="none"/>
        </w:rPr>
        <w:t> </w:t>
      </w:r>
    </w:p>
    <w:p w14:paraId="34251635">
      <w:pPr>
        <w:pStyle w:val="16"/>
        <w:spacing w:beforeAutospacing="0" w:afterAutospacing="0" w:line="360" w:lineRule="auto"/>
        <w:rPr>
          <w:color w:val="auto"/>
          <w:highlight w:val="none"/>
        </w:rPr>
      </w:pPr>
      <w:r>
        <w:rPr>
          <w:color w:val="auto"/>
          <w:highlight w:val="none"/>
        </w:rPr>
        <w:t> </w:t>
      </w:r>
    </w:p>
    <w:p w14:paraId="496A847E">
      <w:pPr>
        <w:pStyle w:val="16"/>
        <w:spacing w:beforeAutospacing="0" w:afterAutospacing="0" w:line="360" w:lineRule="auto"/>
        <w:rPr>
          <w:color w:val="auto"/>
          <w:highlight w:val="none"/>
        </w:rPr>
      </w:pPr>
      <w:r>
        <w:rPr>
          <w:color w:val="auto"/>
          <w:highlight w:val="none"/>
        </w:rPr>
        <w:t> </w:t>
      </w:r>
    </w:p>
    <w:p w14:paraId="50158FDE">
      <w:pPr>
        <w:pStyle w:val="24"/>
        <w:ind w:firstLine="0"/>
        <w:jc w:val="center"/>
        <w:rPr>
          <w:b/>
          <w:bCs/>
          <w:sz w:val="32"/>
        </w:rPr>
      </w:pPr>
      <w:bookmarkStart w:id="0" w:name="_Toc37"/>
      <w:r>
        <w:rPr>
          <w:rFonts w:hint="eastAsia"/>
          <w:b/>
          <w:bCs/>
          <w:sz w:val="32"/>
        </w:rPr>
        <w:t>盐城市亭湖区市场监督管理局</w:t>
      </w:r>
      <w:bookmarkEnd w:id="0"/>
    </w:p>
    <w:p w14:paraId="36E8D47F">
      <w:pPr>
        <w:pStyle w:val="16"/>
        <w:spacing w:before="120" w:beforeAutospacing="0" w:after="120" w:afterAutospacing="0" w:line="360" w:lineRule="auto"/>
        <w:jc w:val="center"/>
        <w:rPr>
          <w:color w:val="auto"/>
          <w:highlight w:val="none"/>
          <w:u w:val="none"/>
        </w:rPr>
      </w:pPr>
      <w:r>
        <w:rPr>
          <w:rFonts w:hint="eastAsia" w:ascii="Arial" w:hAnsi="Arial" w:cs="Arial"/>
          <w:b/>
          <w:color w:val="auto"/>
          <w:sz w:val="32"/>
          <w:szCs w:val="32"/>
          <w:highlight w:val="none"/>
          <w:u w:val="none"/>
          <w:lang w:val="en-US" w:eastAsia="zh-CN"/>
        </w:rPr>
        <w:t>2025</w:t>
      </w:r>
      <w:r>
        <w:rPr>
          <w:rFonts w:ascii="Arial" w:hAnsi="Arial" w:cs="Arial"/>
          <w:b/>
          <w:color w:val="auto"/>
          <w:sz w:val="32"/>
          <w:szCs w:val="32"/>
          <w:highlight w:val="none"/>
          <w:u w:val="none"/>
        </w:rPr>
        <w:t>年</w:t>
      </w:r>
      <w:r>
        <w:rPr>
          <w:rFonts w:hint="eastAsia" w:ascii="Arial" w:hAnsi="Arial" w:cs="Arial"/>
          <w:b/>
          <w:color w:val="auto"/>
          <w:sz w:val="32"/>
          <w:szCs w:val="32"/>
          <w:highlight w:val="none"/>
          <w:u w:val="none"/>
          <w:lang w:val="en-US" w:eastAsia="zh-CN"/>
        </w:rPr>
        <w:t>11</w:t>
      </w:r>
      <w:r>
        <w:rPr>
          <w:rFonts w:ascii="Arial" w:hAnsi="Arial" w:cs="Arial"/>
          <w:b/>
          <w:color w:val="auto"/>
          <w:sz w:val="32"/>
          <w:szCs w:val="32"/>
          <w:highlight w:val="none"/>
          <w:u w:val="none"/>
        </w:rPr>
        <w:t>月</w:t>
      </w:r>
    </w:p>
    <w:p w14:paraId="0ECC7718">
      <w:pPr>
        <w:pStyle w:val="16"/>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6"/>
        <w:spacing w:before="120" w:beforeAutospacing="0" w:after="120" w:afterAutospacing="0" w:line="360" w:lineRule="auto"/>
        <w:jc w:val="center"/>
        <w:rPr>
          <w:color w:val="auto"/>
          <w:highlight w:val="none"/>
        </w:rPr>
      </w:pPr>
      <w:r>
        <w:rPr>
          <w:color w:val="auto"/>
          <w:highlight w:val="none"/>
        </w:rPr>
        <w:t> </w:t>
      </w:r>
    </w:p>
    <w:p w14:paraId="0D408E6F">
      <w:pPr>
        <w:pStyle w:val="16"/>
        <w:spacing w:beforeAutospacing="0" w:afterAutospacing="0" w:line="480" w:lineRule="auto"/>
        <w:jc w:val="center"/>
        <w:rPr>
          <w:rFonts w:ascii="Times New Roman" w:hAnsi="Times New Roman"/>
          <w:color w:val="auto"/>
          <w:sz w:val="21"/>
          <w:szCs w:val="21"/>
          <w:highlight w:val="none"/>
        </w:rPr>
        <w:sectPr>
          <w:footerReference r:id="rId3" w:type="first"/>
          <w:pgSz w:w="11906" w:h="16838"/>
          <w:pgMar w:top="1440" w:right="1080" w:bottom="1440" w:left="1080" w:header="851" w:footer="907" w:gutter="0"/>
          <w:pgNumType w:start="1"/>
          <w:cols w:space="720" w:num="1"/>
          <w:docGrid w:linePitch="360" w:charSpace="0"/>
        </w:sectPr>
      </w:pPr>
    </w:p>
    <w:p w14:paraId="11305133">
      <w:pPr>
        <w:pStyle w:val="16"/>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1" w:name="_Toc513029200"/>
      <w:bookmarkStart w:id="2" w:name="_Toc120614210"/>
      <w:bookmarkStart w:id="3" w:name="_Toc523127445"/>
      <w:bookmarkStart w:id="4" w:name="_Toc20823272"/>
      <w:bookmarkStart w:id="5" w:name="_Toc16938516"/>
      <w:bookmarkStart w:id="6" w:name="_Toc479757206"/>
      <w:r>
        <w:rPr>
          <w:rFonts w:ascii="黑体" w:hAnsi="宋体" w:eastAsia="黑体" w:cs="黑体"/>
          <w:b/>
          <w:color w:val="auto"/>
          <w:sz w:val="44"/>
          <w:szCs w:val="44"/>
          <w:highlight w:val="none"/>
        </w:rPr>
        <w:t>总  目  录</w:t>
      </w:r>
      <w:bookmarkEnd w:id="1"/>
      <w:bookmarkEnd w:id="2"/>
      <w:bookmarkEnd w:id="3"/>
      <w:bookmarkEnd w:id="4"/>
      <w:bookmarkEnd w:id="5"/>
      <w:bookmarkEnd w:id="6"/>
    </w:p>
    <w:p w14:paraId="75822FF8">
      <w:pPr>
        <w:pStyle w:val="16"/>
        <w:spacing w:beforeAutospacing="0" w:afterAutospacing="0" w:line="480" w:lineRule="auto"/>
        <w:jc w:val="both"/>
        <w:rPr>
          <w:color w:val="auto"/>
          <w:highlight w:val="none"/>
        </w:rPr>
      </w:pPr>
      <w:r>
        <w:rPr>
          <w:color w:val="auto"/>
          <w:highlight w:val="none"/>
        </w:rPr>
        <w:t> </w:t>
      </w:r>
    </w:p>
    <w:p w14:paraId="3CDDB7A7">
      <w:pPr>
        <w:pStyle w:val="16"/>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第一章  竞争性磋商公告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2</w:t>
      </w:r>
    </w:p>
    <w:p w14:paraId="602C0AC8">
      <w:pPr>
        <w:pStyle w:val="16"/>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供应商须知…………………………………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498F52BB">
      <w:pPr>
        <w:pStyle w:val="1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22</w:t>
      </w:r>
    </w:p>
    <w:p w14:paraId="7FB3F79A">
      <w:pPr>
        <w:pStyle w:val="1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31</w:t>
      </w:r>
    </w:p>
    <w:p w14:paraId="4B11686D">
      <w:pPr>
        <w:pStyle w:val="1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评审方法与评审标准………………………</w:t>
      </w:r>
      <w:r>
        <w:rPr>
          <w:rFonts w:hint="eastAsia" w:ascii="黑体" w:hAnsi="宋体" w:eastAsia="黑体" w:cs="黑体"/>
          <w:color w:val="auto"/>
          <w:sz w:val="36"/>
          <w:szCs w:val="36"/>
          <w:highlight w:val="none"/>
          <w:lang w:val="en-US" w:eastAsia="zh-CN"/>
        </w:rPr>
        <w:t>44</w:t>
      </w:r>
    </w:p>
    <w:p w14:paraId="5BC483A2">
      <w:pPr>
        <w:pStyle w:val="1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响应文件格式………………………………</w:t>
      </w:r>
      <w:r>
        <w:rPr>
          <w:rFonts w:hint="eastAsia" w:ascii="黑体" w:hAnsi="宋体" w:eastAsia="黑体" w:cs="黑体"/>
          <w:color w:val="auto"/>
          <w:sz w:val="36"/>
          <w:szCs w:val="36"/>
          <w:highlight w:val="none"/>
          <w:lang w:val="en-US" w:eastAsia="zh-CN"/>
        </w:rPr>
        <w:t>47</w:t>
      </w:r>
    </w:p>
    <w:p w14:paraId="0127F939">
      <w:pPr>
        <w:pStyle w:val="16"/>
        <w:spacing w:beforeAutospacing="0" w:afterAutospacing="0"/>
        <w:jc w:val="both"/>
        <w:rPr>
          <w:color w:val="auto"/>
          <w:highlight w:val="none"/>
        </w:rPr>
      </w:pPr>
      <w:r>
        <w:rPr>
          <w:color w:val="auto"/>
          <w:highlight w:val="none"/>
        </w:rPr>
        <w:t> </w:t>
      </w:r>
    </w:p>
    <w:p w14:paraId="2A1A6F4E">
      <w:pPr>
        <w:pStyle w:val="16"/>
        <w:spacing w:beforeAutospacing="0" w:afterAutospacing="0"/>
        <w:jc w:val="both"/>
        <w:rPr>
          <w:color w:val="auto"/>
          <w:highlight w:val="none"/>
        </w:rPr>
      </w:pPr>
      <w:r>
        <w:rPr>
          <w:color w:val="auto"/>
          <w:highlight w:val="none"/>
        </w:rPr>
        <w:t> </w:t>
      </w:r>
    </w:p>
    <w:p w14:paraId="23AF03AC">
      <w:pPr>
        <w:pStyle w:val="16"/>
        <w:spacing w:beforeAutospacing="0" w:afterAutospacing="0"/>
        <w:jc w:val="both"/>
        <w:rPr>
          <w:color w:val="auto"/>
          <w:highlight w:val="none"/>
        </w:rPr>
      </w:pPr>
      <w:r>
        <w:rPr>
          <w:color w:val="auto"/>
          <w:highlight w:val="none"/>
        </w:rPr>
        <w:t> </w:t>
      </w:r>
    </w:p>
    <w:p w14:paraId="120BF48B">
      <w:pPr>
        <w:pStyle w:val="16"/>
        <w:spacing w:beforeAutospacing="0" w:afterAutospacing="0"/>
        <w:jc w:val="both"/>
        <w:rPr>
          <w:color w:val="auto"/>
          <w:highlight w:val="none"/>
        </w:rPr>
      </w:pPr>
      <w:r>
        <w:rPr>
          <w:color w:val="auto"/>
          <w:highlight w:val="none"/>
        </w:rPr>
        <w:t> </w:t>
      </w:r>
    </w:p>
    <w:p w14:paraId="2C822BE6">
      <w:pPr>
        <w:pStyle w:val="16"/>
        <w:spacing w:beforeAutospacing="0" w:afterAutospacing="0"/>
        <w:jc w:val="both"/>
        <w:rPr>
          <w:color w:val="auto"/>
          <w:highlight w:val="none"/>
        </w:rPr>
      </w:pPr>
      <w:r>
        <w:rPr>
          <w:color w:val="auto"/>
          <w:highlight w:val="none"/>
        </w:rPr>
        <w:t> </w:t>
      </w:r>
    </w:p>
    <w:p w14:paraId="4451FE81">
      <w:pPr>
        <w:pStyle w:val="16"/>
        <w:spacing w:beforeAutospacing="0" w:afterAutospacing="0"/>
        <w:jc w:val="both"/>
        <w:rPr>
          <w:color w:val="auto"/>
          <w:highlight w:val="none"/>
        </w:rPr>
      </w:pPr>
      <w:r>
        <w:rPr>
          <w:color w:val="auto"/>
          <w:highlight w:val="none"/>
        </w:rPr>
        <w:t> </w:t>
      </w:r>
    </w:p>
    <w:p w14:paraId="2A439CC2">
      <w:pPr>
        <w:pStyle w:val="16"/>
        <w:spacing w:beforeAutospacing="0" w:afterAutospacing="0"/>
        <w:jc w:val="both"/>
        <w:rPr>
          <w:color w:val="auto"/>
          <w:highlight w:val="none"/>
        </w:rPr>
      </w:pPr>
      <w:r>
        <w:rPr>
          <w:color w:val="auto"/>
          <w:highlight w:val="none"/>
        </w:rPr>
        <w:t> </w:t>
      </w:r>
    </w:p>
    <w:p w14:paraId="48D1D9F8">
      <w:pPr>
        <w:pStyle w:val="16"/>
        <w:spacing w:beforeAutospacing="0" w:afterAutospacing="0"/>
        <w:jc w:val="both"/>
        <w:rPr>
          <w:color w:val="auto"/>
          <w:highlight w:val="none"/>
        </w:rPr>
      </w:pPr>
      <w:r>
        <w:rPr>
          <w:color w:val="auto"/>
          <w:highlight w:val="none"/>
        </w:rPr>
        <w:t> </w:t>
      </w:r>
    </w:p>
    <w:p w14:paraId="47314E59">
      <w:pPr>
        <w:pStyle w:val="16"/>
        <w:spacing w:beforeAutospacing="0" w:afterAutospacing="0"/>
        <w:jc w:val="both"/>
        <w:rPr>
          <w:color w:val="auto"/>
          <w:highlight w:val="none"/>
        </w:rPr>
      </w:pPr>
      <w:r>
        <w:rPr>
          <w:color w:val="auto"/>
          <w:highlight w:val="none"/>
        </w:rPr>
        <w:t> </w:t>
      </w:r>
    </w:p>
    <w:p w14:paraId="7BDB1610">
      <w:pPr>
        <w:pStyle w:val="16"/>
        <w:spacing w:beforeAutospacing="0" w:afterAutospacing="0"/>
        <w:jc w:val="both"/>
        <w:rPr>
          <w:color w:val="auto"/>
          <w:highlight w:val="none"/>
        </w:rPr>
      </w:pPr>
      <w:r>
        <w:rPr>
          <w:color w:val="auto"/>
          <w:highlight w:val="none"/>
        </w:rPr>
        <w:t> </w:t>
      </w:r>
    </w:p>
    <w:p w14:paraId="4B12CA4C">
      <w:pPr>
        <w:pStyle w:val="16"/>
        <w:spacing w:beforeAutospacing="0" w:afterAutospacing="0"/>
        <w:jc w:val="both"/>
        <w:rPr>
          <w:color w:val="auto"/>
          <w:highlight w:val="none"/>
        </w:rPr>
      </w:pPr>
      <w:r>
        <w:rPr>
          <w:color w:val="auto"/>
          <w:highlight w:val="none"/>
        </w:rPr>
        <w:t> </w:t>
      </w:r>
    </w:p>
    <w:p w14:paraId="255E0519">
      <w:pPr>
        <w:pStyle w:val="16"/>
        <w:spacing w:beforeAutospacing="0" w:afterAutospacing="0"/>
        <w:jc w:val="both"/>
        <w:rPr>
          <w:color w:val="auto"/>
          <w:highlight w:val="none"/>
        </w:rPr>
      </w:pPr>
      <w:r>
        <w:rPr>
          <w:color w:val="auto"/>
          <w:highlight w:val="none"/>
        </w:rPr>
        <w:t> </w:t>
      </w:r>
    </w:p>
    <w:p w14:paraId="528070EA">
      <w:pPr>
        <w:pStyle w:val="16"/>
        <w:spacing w:beforeAutospacing="0" w:afterAutospacing="0"/>
        <w:jc w:val="both"/>
        <w:rPr>
          <w:color w:val="auto"/>
          <w:highlight w:val="none"/>
        </w:rPr>
      </w:pPr>
      <w:r>
        <w:rPr>
          <w:color w:val="auto"/>
          <w:highlight w:val="none"/>
        </w:rPr>
        <w:t> </w:t>
      </w:r>
    </w:p>
    <w:p w14:paraId="3788826F">
      <w:pPr>
        <w:pStyle w:val="16"/>
        <w:spacing w:beforeAutospacing="0" w:afterAutospacing="0"/>
        <w:jc w:val="both"/>
        <w:rPr>
          <w:color w:val="auto"/>
          <w:highlight w:val="none"/>
        </w:rPr>
      </w:pPr>
      <w:r>
        <w:rPr>
          <w:color w:val="auto"/>
          <w:highlight w:val="none"/>
        </w:rPr>
        <w:t> </w:t>
      </w:r>
    </w:p>
    <w:p w14:paraId="0491F98F">
      <w:pPr>
        <w:pStyle w:val="16"/>
        <w:spacing w:beforeAutospacing="0" w:afterAutospacing="0"/>
        <w:jc w:val="both"/>
        <w:rPr>
          <w:color w:val="auto"/>
          <w:highlight w:val="none"/>
        </w:rPr>
      </w:pPr>
      <w:r>
        <w:rPr>
          <w:color w:val="auto"/>
          <w:highlight w:val="none"/>
        </w:rPr>
        <w:t> </w:t>
      </w:r>
    </w:p>
    <w:p w14:paraId="484847E3">
      <w:pPr>
        <w:pStyle w:val="16"/>
        <w:spacing w:beforeAutospacing="0" w:afterAutospacing="0"/>
        <w:jc w:val="both"/>
        <w:rPr>
          <w:color w:val="auto"/>
          <w:highlight w:val="none"/>
        </w:rPr>
      </w:pPr>
      <w:r>
        <w:rPr>
          <w:color w:val="auto"/>
          <w:highlight w:val="none"/>
        </w:rPr>
        <w:t> </w:t>
      </w:r>
    </w:p>
    <w:p w14:paraId="38C2EB33">
      <w:pPr>
        <w:pStyle w:val="16"/>
        <w:spacing w:beforeAutospacing="0" w:afterAutospacing="0"/>
        <w:jc w:val="both"/>
        <w:rPr>
          <w:color w:val="auto"/>
          <w:highlight w:val="none"/>
        </w:rPr>
      </w:pPr>
      <w:r>
        <w:rPr>
          <w:color w:val="auto"/>
          <w:highlight w:val="none"/>
        </w:rPr>
        <w:t> </w:t>
      </w:r>
    </w:p>
    <w:p w14:paraId="469DA47E">
      <w:pPr>
        <w:pStyle w:val="16"/>
        <w:spacing w:beforeAutospacing="0" w:afterAutospacing="0"/>
        <w:jc w:val="both"/>
        <w:rPr>
          <w:color w:val="auto"/>
          <w:highlight w:val="none"/>
        </w:rPr>
      </w:pPr>
      <w:r>
        <w:rPr>
          <w:color w:val="auto"/>
          <w:highlight w:val="none"/>
        </w:rPr>
        <w:t> </w:t>
      </w:r>
    </w:p>
    <w:p w14:paraId="187BFE5C">
      <w:pPr>
        <w:pStyle w:val="16"/>
        <w:spacing w:beforeAutospacing="0" w:afterAutospacing="0"/>
        <w:jc w:val="both"/>
        <w:rPr>
          <w:color w:val="auto"/>
          <w:highlight w:val="none"/>
        </w:rPr>
      </w:pPr>
      <w:r>
        <w:rPr>
          <w:color w:val="auto"/>
          <w:highlight w:val="none"/>
        </w:rPr>
        <w:t> </w:t>
      </w:r>
    </w:p>
    <w:p w14:paraId="433CBF8A">
      <w:pPr>
        <w:pStyle w:val="16"/>
        <w:spacing w:beforeAutospacing="0" w:afterAutospacing="0"/>
        <w:jc w:val="both"/>
        <w:rPr>
          <w:color w:val="auto"/>
          <w:highlight w:val="none"/>
        </w:rPr>
      </w:pPr>
      <w:r>
        <w:rPr>
          <w:color w:val="auto"/>
          <w:highlight w:val="none"/>
        </w:rPr>
        <w:t> </w:t>
      </w:r>
    </w:p>
    <w:p w14:paraId="0330D82C">
      <w:pPr>
        <w:pStyle w:val="16"/>
        <w:spacing w:beforeAutospacing="0" w:afterAutospacing="0"/>
        <w:jc w:val="both"/>
        <w:rPr>
          <w:color w:val="auto"/>
          <w:highlight w:val="none"/>
        </w:rPr>
      </w:pPr>
      <w:r>
        <w:rPr>
          <w:color w:val="auto"/>
          <w:highlight w:val="none"/>
        </w:rPr>
        <w:t> </w:t>
      </w:r>
    </w:p>
    <w:p w14:paraId="5B8EE21B">
      <w:pPr>
        <w:pStyle w:val="16"/>
        <w:spacing w:beforeAutospacing="0" w:afterAutospacing="0"/>
        <w:jc w:val="both"/>
        <w:rPr>
          <w:color w:val="auto"/>
          <w:highlight w:val="none"/>
        </w:rPr>
      </w:pPr>
      <w:r>
        <w:rPr>
          <w:color w:val="auto"/>
          <w:highlight w:val="none"/>
        </w:rPr>
        <w:t> </w:t>
      </w:r>
    </w:p>
    <w:p w14:paraId="7FB681EC">
      <w:pPr>
        <w:pStyle w:val="16"/>
        <w:keepNext/>
        <w:spacing w:beforeAutospacing="0" w:afterAutospacing="0"/>
        <w:jc w:val="center"/>
        <w:rPr>
          <w:rFonts w:hint="eastAsia" w:ascii="仿宋" w:hAnsi="仿宋" w:eastAsia="仿宋" w:cs="仿宋"/>
          <w:color w:val="auto"/>
          <w:sz w:val="28"/>
          <w:szCs w:val="28"/>
          <w:highlight w:val="none"/>
          <w:lang w:val="en-US" w:eastAsia="zh-CN"/>
        </w:rPr>
      </w:pP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6274C873">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sz w:val="24"/>
          <w:u w:val="single"/>
        </w:rPr>
        <w:t>亭湖区</w:t>
      </w:r>
      <w:r>
        <w:rPr>
          <w:rFonts w:hint="eastAsia" w:ascii="宋体" w:hAnsi="宋体"/>
          <w:sz w:val="24"/>
          <w:u w:val="single"/>
          <w:lang w:val="en-US" w:eastAsia="zh-CN"/>
        </w:rPr>
        <w:t>2025年</w:t>
      </w:r>
      <w:r>
        <w:rPr>
          <w:rFonts w:hint="eastAsia" w:ascii="宋体" w:hAnsi="宋体"/>
          <w:sz w:val="24"/>
          <w:u w:val="single"/>
        </w:rPr>
        <w:t>“七鱼三菜两蛋”专项农贸市场快检服务项目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2025</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267D1D99">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bookmarkStart w:id="8" w:name="_Toc28359079"/>
      <w:bookmarkStart w:id="9" w:name="_Toc35393621"/>
      <w:bookmarkStart w:id="10" w:name="_Toc38985263"/>
      <w:bookmarkStart w:id="11" w:name="_Hlk24379207"/>
      <w:bookmarkStart w:id="12" w:name="_Toc28359002"/>
      <w:bookmarkStart w:id="13" w:name="_Toc35393790"/>
      <w:r>
        <w:rPr>
          <w:rFonts w:hint="eastAsia" w:ascii="宋体" w:hAnsi="宋体" w:eastAsia="宋体" w:cs="宋体"/>
          <w:i w:val="0"/>
          <w:iCs w:val="0"/>
          <w:caps w:val="0"/>
          <w:color w:val="auto"/>
          <w:spacing w:val="0"/>
          <w:sz w:val="24"/>
          <w:szCs w:val="24"/>
          <w:highlight w:val="none"/>
          <w:shd w:val="clear" w:color="auto" w:fill="auto"/>
        </w:rPr>
        <w:t>一、项目基本情况</w:t>
      </w:r>
      <w:bookmarkEnd w:id="8"/>
      <w:bookmarkEnd w:id="9"/>
      <w:bookmarkEnd w:id="10"/>
      <w:bookmarkEnd w:id="11"/>
      <w:bookmarkEnd w:id="12"/>
      <w:bookmarkEnd w:id="13"/>
    </w:p>
    <w:p w14:paraId="52DFACCE">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1.项目编号：</w:t>
      </w:r>
      <w:r>
        <w:rPr>
          <w:rFonts w:hint="eastAsia" w:ascii="宋体" w:hAnsi="宋体" w:eastAsia="宋体" w:cs="宋体"/>
          <w:i w:val="0"/>
          <w:iCs w:val="0"/>
          <w:caps w:val="0"/>
          <w:color w:val="auto"/>
          <w:spacing w:val="0"/>
          <w:sz w:val="24"/>
          <w:szCs w:val="24"/>
          <w:highlight w:val="none"/>
          <w:shd w:val="clear" w:color="auto" w:fill="auto"/>
          <w:lang w:val="en-US" w:eastAsia="zh-CN"/>
        </w:rPr>
        <w:t>JSZC-320902-HPXM-C2025-0005</w:t>
      </w:r>
    </w:p>
    <w:p w14:paraId="758597DD">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2.项目名称：</w:t>
      </w:r>
      <w:r>
        <w:rPr>
          <w:rFonts w:hint="eastAsia" w:ascii="宋体" w:hAnsi="宋体" w:eastAsia="宋体" w:cs="宋体"/>
          <w:i w:val="0"/>
          <w:iCs w:val="0"/>
          <w:caps w:val="0"/>
          <w:color w:val="auto"/>
          <w:spacing w:val="0"/>
          <w:sz w:val="24"/>
          <w:szCs w:val="24"/>
          <w:highlight w:val="none"/>
          <w:shd w:val="clear" w:color="auto" w:fill="auto"/>
          <w:lang w:val="en-US" w:eastAsia="zh-CN"/>
        </w:rPr>
        <w:t>亭湖区2025年“七鱼三菜两蛋”专项农贸市场快检服务项目</w:t>
      </w:r>
    </w:p>
    <w:p w14:paraId="102B552F">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采购方式：竞争性磋商</w:t>
      </w:r>
    </w:p>
    <w:p w14:paraId="3184ACD2">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w:t>
      </w:r>
      <w:r>
        <w:rPr>
          <w:rFonts w:hint="eastAsia" w:ascii="宋体" w:hAnsi="宋体" w:eastAsia="宋体" w:cs="宋体"/>
          <w:i w:val="0"/>
          <w:iCs w:val="0"/>
          <w:caps w:val="0"/>
          <w:color w:val="auto"/>
          <w:spacing w:val="0"/>
          <w:sz w:val="24"/>
          <w:szCs w:val="24"/>
          <w:highlight w:val="none"/>
          <w:shd w:val="clear" w:color="auto" w:fill="auto"/>
        </w:rPr>
        <w:t>人民币360万元，本项目共分两个包,每包预算价为180万元</w:t>
      </w:r>
      <w:r>
        <w:rPr>
          <w:rFonts w:hint="eastAsia" w:ascii="宋体" w:hAnsi="宋体" w:eastAsia="宋体" w:cs="宋体"/>
          <w:i w:val="0"/>
          <w:iCs w:val="0"/>
          <w:caps w:val="0"/>
          <w:color w:val="auto"/>
          <w:spacing w:val="0"/>
          <w:sz w:val="24"/>
          <w:szCs w:val="24"/>
          <w:highlight w:val="none"/>
          <w:shd w:val="clear" w:color="auto" w:fill="auto"/>
          <w:lang w:eastAsia="zh-CN"/>
        </w:rPr>
        <w:t>。</w:t>
      </w:r>
    </w:p>
    <w:p w14:paraId="0C938543">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最高限价：本项目共分两个包,每包</w:t>
      </w:r>
      <w:r>
        <w:rPr>
          <w:rFonts w:hint="eastAsia" w:ascii="宋体" w:hAnsi="宋体" w:eastAsia="宋体" w:cs="宋体"/>
          <w:i w:val="0"/>
          <w:iCs w:val="0"/>
          <w:caps w:val="0"/>
          <w:color w:val="auto"/>
          <w:spacing w:val="0"/>
          <w:sz w:val="24"/>
          <w:szCs w:val="24"/>
          <w:highlight w:val="none"/>
          <w:shd w:val="clear" w:color="auto" w:fill="auto"/>
          <w:lang w:val="en-US" w:eastAsia="zh-CN"/>
        </w:rPr>
        <w:t>最高限</w:t>
      </w:r>
      <w:r>
        <w:rPr>
          <w:rFonts w:hint="eastAsia" w:ascii="宋体" w:hAnsi="宋体" w:eastAsia="宋体" w:cs="宋体"/>
          <w:i w:val="0"/>
          <w:iCs w:val="0"/>
          <w:caps w:val="0"/>
          <w:color w:val="auto"/>
          <w:spacing w:val="0"/>
          <w:sz w:val="24"/>
          <w:szCs w:val="24"/>
          <w:highlight w:val="none"/>
          <w:shd w:val="clear" w:color="auto" w:fill="auto"/>
        </w:rPr>
        <w:t>价为180万元。投标报价高于最高限价的作无效响应处理。</w:t>
      </w:r>
    </w:p>
    <w:p w14:paraId="517E3594">
      <w:pPr>
        <w:spacing w:line="460" w:lineRule="exact"/>
        <w:ind w:firstLine="480"/>
        <w:rPr>
          <w:rFonts w:ascii="宋体" w:hAnsi="宋体"/>
          <w:bCs/>
          <w:sz w:val="24"/>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bCs/>
          <w:sz w:val="24"/>
        </w:rPr>
        <w:t>亭湖区2025年“七鱼三菜两蛋”专项农贸市场快检服务项目共分为2个包，服务项目需求为：</w:t>
      </w:r>
      <w:r>
        <w:rPr>
          <w:rFonts w:hint="eastAsia" w:ascii="宋体" w:hAnsi="宋体"/>
          <w:sz w:val="24"/>
        </w:rPr>
        <w:t>对</w:t>
      </w:r>
      <w:r>
        <w:rPr>
          <w:rFonts w:hint="eastAsia" w:ascii="宋体" w:hAnsi="宋体"/>
          <w:bCs/>
          <w:sz w:val="24"/>
        </w:rPr>
        <w:t>辖区内所有农贸市场提供约</w:t>
      </w:r>
      <w:r>
        <w:rPr>
          <w:rFonts w:hint="eastAsia" w:ascii="宋体" w:hAnsi="宋体" w:eastAsia="宋体" w:cs="宋体"/>
          <w:i w:val="0"/>
          <w:iCs w:val="0"/>
          <w:color w:val="000000"/>
          <w:kern w:val="0"/>
          <w:sz w:val="24"/>
          <w:szCs w:val="24"/>
          <w:highlight w:val="none"/>
          <w:u w:val="none"/>
          <w:lang w:val="en-US" w:eastAsia="zh-CN" w:bidi="ar"/>
        </w:rPr>
        <w:t>143000</w:t>
      </w:r>
      <w:r>
        <w:rPr>
          <w:rFonts w:hint="eastAsia" w:ascii="宋体" w:hAnsi="宋体" w:cs="宋体"/>
          <w:sz w:val="24"/>
        </w:rPr>
        <w:t>批</w:t>
      </w:r>
      <w:r>
        <w:rPr>
          <w:rFonts w:hint="eastAsia" w:ascii="宋体" w:hAnsi="宋体"/>
          <w:bCs/>
          <w:sz w:val="24"/>
        </w:rPr>
        <w:t>次“七鱼三菜两蛋（七鱼：鳊鱼、鲫鱼、黄鳝、牛蛙、泥鳅、大口黑鲈、乌鳢；三菜：豇豆、芹菜、辣椒；两蛋：鹌鹑蛋、鸡蛋）”及果蔬畜禽肉等专项快检服务（其中七鱼三菜两蛋及畜禽肉为胶体金检测，果蔬类为比色检测法）。</w:t>
      </w:r>
      <w:r>
        <w:rPr>
          <w:rFonts w:hint="eastAsia" w:ascii="宋体" w:hAnsi="宋体" w:cs="宋体"/>
          <w:sz w:val="24"/>
        </w:rPr>
        <w:t>每</w:t>
      </w:r>
      <w:r>
        <w:rPr>
          <w:rFonts w:hint="eastAsia" w:ascii="宋体" w:hAnsi="宋体"/>
          <w:bCs/>
          <w:sz w:val="24"/>
        </w:rPr>
        <w:t>个包约</w:t>
      </w:r>
      <w:r>
        <w:rPr>
          <w:rFonts w:hint="eastAsia" w:ascii="宋体" w:hAnsi="宋体"/>
          <w:bCs/>
          <w:sz w:val="24"/>
          <w:lang w:val="en-US" w:eastAsia="zh-CN"/>
        </w:rPr>
        <w:t>71500</w:t>
      </w:r>
      <w:r>
        <w:rPr>
          <w:rFonts w:hint="eastAsia" w:ascii="宋体" w:hAnsi="宋体"/>
          <w:bCs/>
          <w:sz w:val="24"/>
        </w:rPr>
        <w:t>批次，</w:t>
      </w:r>
      <w:r>
        <w:rPr>
          <w:rFonts w:hint="eastAsia" w:ascii="宋体" w:hAnsi="宋体"/>
          <w:bCs/>
          <w:sz w:val="24"/>
          <w:lang w:val="en-US" w:eastAsia="zh-CN"/>
        </w:rPr>
        <w:t>采购人可根据实际情况调整分配农贸市场。</w:t>
      </w:r>
      <w:r>
        <w:rPr>
          <w:rFonts w:hint="eastAsia" w:ascii="宋体" w:hAnsi="宋体" w:cs="宋体"/>
          <w:sz w:val="24"/>
        </w:rPr>
        <w:t>项目包</w:t>
      </w:r>
      <w:r>
        <w:rPr>
          <w:rFonts w:hint="eastAsia" w:ascii="宋体" w:hAnsi="宋体"/>
          <w:bCs/>
          <w:sz w:val="24"/>
        </w:rPr>
        <w:t>含每个检测室的日常运营、检测工具设备投入、采样费用、检测耗材费用、检测试剂费用、检测人员工资、检测数据公示、检测数据传输与储存等，所有检测数据信息归采购方所有，不得外传并需为采购方保存检测数据至少2年；具体详见项目需求。</w:t>
      </w:r>
    </w:p>
    <w:p w14:paraId="629A9815">
      <w:pPr>
        <w:keepNext w:val="0"/>
        <w:keepLines w:val="0"/>
        <w:pageBreakBefore w:val="0"/>
        <w:widowControl w:val="0"/>
        <w:spacing w:line="500" w:lineRule="exact"/>
        <w:ind w:left="0"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本项目共分</w:t>
      </w:r>
      <w:r>
        <w:rPr>
          <w:rFonts w:hint="eastAsia" w:ascii="宋体" w:hAnsi="宋体" w:cs="Times New Roman"/>
          <w:bCs/>
          <w:sz w:val="24"/>
          <w:lang w:val="en-US" w:eastAsia="zh-CN"/>
        </w:rPr>
        <w:t>两</w:t>
      </w:r>
      <w:r>
        <w:rPr>
          <w:rFonts w:hint="eastAsia" w:ascii="宋体" w:hAnsi="宋体" w:eastAsia="宋体" w:cs="Times New Roman"/>
          <w:bCs/>
          <w:sz w:val="24"/>
          <w:lang w:val="en-US" w:eastAsia="zh-CN"/>
        </w:rPr>
        <w:t>个包,各包信息如下：</w:t>
      </w:r>
    </w:p>
    <w:tbl>
      <w:tblPr>
        <w:tblStyle w:val="17"/>
        <w:tblW w:w="4998" w:type="pct"/>
        <w:jc w:val="center"/>
        <w:tblLayout w:type="autofit"/>
        <w:tblCellMar>
          <w:top w:w="15" w:type="dxa"/>
          <w:left w:w="15" w:type="dxa"/>
          <w:bottom w:w="0" w:type="dxa"/>
          <w:right w:w="15" w:type="dxa"/>
        </w:tblCellMar>
      </w:tblPr>
      <w:tblGrid>
        <w:gridCol w:w="4070"/>
        <w:gridCol w:w="1969"/>
        <w:gridCol w:w="2110"/>
        <w:gridCol w:w="1623"/>
      </w:tblGrid>
      <w:tr w14:paraId="3F9099A5">
        <w:tblPrEx>
          <w:tblCellMar>
            <w:top w:w="15" w:type="dxa"/>
            <w:left w:w="15" w:type="dxa"/>
            <w:bottom w:w="0" w:type="dxa"/>
            <w:right w:w="15" w:type="dxa"/>
          </w:tblCellMar>
        </w:tblPrEx>
        <w:trPr>
          <w:trHeight w:val="516"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CCBCFB">
            <w:pPr>
              <w:widowControl/>
              <w:spacing w:line="500" w:lineRule="exact"/>
              <w:jc w:val="center"/>
              <w:rPr>
                <w:rFonts w:ascii="宋体" w:hAnsi="宋体" w:cs="宋体"/>
                <w:bCs/>
                <w:sz w:val="24"/>
                <w:highlight w:val="none"/>
              </w:rPr>
            </w:pPr>
            <w:r>
              <w:rPr>
                <w:rFonts w:hint="eastAsia" w:ascii="宋体" w:hAnsi="宋体" w:cs="宋体"/>
                <w:bCs/>
                <w:sz w:val="24"/>
                <w:highlight w:val="none"/>
              </w:rPr>
              <w:t>项目名称</w:t>
            </w:r>
          </w:p>
        </w:tc>
        <w:tc>
          <w:tcPr>
            <w:tcW w:w="100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01B628">
            <w:pPr>
              <w:widowControl/>
              <w:spacing w:line="500" w:lineRule="exact"/>
              <w:jc w:val="center"/>
              <w:rPr>
                <w:rFonts w:hint="eastAsia" w:ascii="宋体" w:hAnsi="宋体" w:cs="宋体"/>
                <w:bCs/>
                <w:sz w:val="24"/>
                <w:highlight w:val="none"/>
                <w:lang w:val="en-US" w:eastAsia="zh-CN"/>
              </w:rPr>
            </w:pPr>
            <w:r>
              <w:rPr>
                <w:rFonts w:hint="eastAsia" w:ascii="宋体" w:hAnsi="宋体" w:cs="宋体"/>
                <w:bCs/>
                <w:sz w:val="24"/>
                <w:highlight w:val="none"/>
              </w:rPr>
              <w:t>包一</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西片区</w:t>
            </w:r>
          </w:p>
          <w:p w14:paraId="29FDF886">
            <w:pPr>
              <w:widowControl/>
              <w:spacing w:line="500" w:lineRule="exact"/>
              <w:jc w:val="center"/>
              <w:rPr>
                <w:rFonts w:ascii="宋体" w:hAnsi="宋体" w:cs="宋体"/>
                <w:bCs/>
                <w:sz w:val="24"/>
                <w:highlight w:val="none"/>
              </w:rPr>
            </w:pPr>
            <w:r>
              <w:rPr>
                <w:rFonts w:hint="eastAsia" w:ascii="宋体" w:hAnsi="宋体" w:cs="宋体"/>
                <w:bCs/>
                <w:sz w:val="24"/>
                <w:highlight w:val="none"/>
              </w:rPr>
              <w:t>（批次）</w:t>
            </w:r>
          </w:p>
        </w:tc>
        <w:tc>
          <w:tcPr>
            <w:tcW w:w="107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16D78F">
            <w:pPr>
              <w:widowControl/>
              <w:spacing w:line="500" w:lineRule="exact"/>
              <w:jc w:val="center"/>
              <w:rPr>
                <w:rFonts w:hint="eastAsia" w:ascii="宋体" w:hAnsi="宋体" w:cs="宋体"/>
                <w:bCs/>
                <w:sz w:val="24"/>
                <w:highlight w:val="none"/>
                <w:lang w:val="en-US" w:eastAsia="zh-CN"/>
              </w:rPr>
            </w:pPr>
            <w:r>
              <w:rPr>
                <w:rFonts w:hint="eastAsia" w:ascii="宋体" w:hAnsi="宋体" w:cs="宋体"/>
                <w:bCs/>
                <w:sz w:val="24"/>
                <w:highlight w:val="none"/>
              </w:rPr>
              <w:t>包二</w:t>
            </w:r>
            <w:r>
              <w:rPr>
                <w:rFonts w:hint="eastAsia" w:ascii="宋体" w:hAnsi="宋体" w:cs="宋体"/>
                <w:bCs/>
                <w:sz w:val="24"/>
                <w:highlight w:val="none"/>
                <w:lang w:eastAsia="zh-CN"/>
              </w:rPr>
              <w:t>：</w:t>
            </w:r>
            <w:r>
              <w:rPr>
                <w:rFonts w:hint="eastAsia" w:ascii="宋体" w:hAnsi="宋体" w:cs="宋体"/>
                <w:bCs/>
                <w:sz w:val="24"/>
                <w:highlight w:val="none"/>
                <w:lang w:val="en-US" w:eastAsia="zh-CN"/>
              </w:rPr>
              <w:t>东片区</w:t>
            </w:r>
          </w:p>
          <w:p w14:paraId="1608F805">
            <w:pPr>
              <w:widowControl/>
              <w:spacing w:line="500" w:lineRule="exact"/>
              <w:jc w:val="center"/>
              <w:rPr>
                <w:rFonts w:ascii="宋体" w:hAnsi="宋体" w:cs="宋体"/>
                <w:bCs/>
                <w:sz w:val="24"/>
                <w:highlight w:val="none"/>
              </w:rPr>
            </w:pPr>
            <w:r>
              <w:rPr>
                <w:rFonts w:hint="eastAsia" w:ascii="宋体" w:hAnsi="宋体" w:cs="宋体"/>
                <w:bCs/>
                <w:sz w:val="24"/>
                <w:highlight w:val="none"/>
              </w:rPr>
              <w:t>（批次）</w:t>
            </w:r>
          </w:p>
        </w:tc>
        <w:tc>
          <w:tcPr>
            <w:tcW w:w="83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C7580F">
            <w:pPr>
              <w:widowControl/>
              <w:spacing w:line="500" w:lineRule="exact"/>
              <w:jc w:val="center"/>
              <w:rPr>
                <w:rFonts w:ascii="宋体" w:hAnsi="宋体" w:cs="宋体"/>
                <w:bCs/>
                <w:sz w:val="24"/>
                <w:highlight w:val="none"/>
              </w:rPr>
            </w:pPr>
            <w:r>
              <w:rPr>
                <w:rFonts w:hint="eastAsia" w:ascii="宋体" w:hAnsi="宋体" w:cs="宋体"/>
                <w:bCs/>
                <w:sz w:val="24"/>
                <w:highlight w:val="none"/>
              </w:rPr>
              <w:t>合计</w:t>
            </w:r>
          </w:p>
        </w:tc>
      </w:tr>
      <w:tr w14:paraId="7F46972E">
        <w:tblPrEx>
          <w:tblCellMar>
            <w:top w:w="15" w:type="dxa"/>
            <w:left w:w="15" w:type="dxa"/>
            <w:bottom w:w="0" w:type="dxa"/>
            <w:right w:w="15" w:type="dxa"/>
          </w:tblCellMar>
        </w:tblPrEx>
        <w:trPr>
          <w:trHeight w:val="0"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4645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ascii="宋体" w:hAnsi="宋体" w:cs="宋体"/>
                <w:bCs/>
                <w:sz w:val="24"/>
                <w:highlight w:val="none"/>
              </w:rPr>
            </w:pPr>
            <w:r>
              <w:rPr>
                <w:rFonts w:hint="eastAsia" w:ascii="宋体" w:hAnsi="宋体" w:cs="宋体"/>
                <w:color w:val="auto"/>
                <w:kern w:val="0"/>
                <w:sz w:val="24"/>
                <w:highlight w:val="none"/>
                <w:lang w:val="en-US" w:eastAsia="zh-CN"/>
              </w:rPr>
              <w:t>重点水产品（鳊鱼、鲫鱼、黄鳝、牛蛙、泥鳅、大口黑鲈、乌鳢等）</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72340B">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25000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EBCB75">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25000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68B1CF">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50000</w:t>
            </w:r>
          </w:p>
        </w:tc>
      </w:tr>
      <w:tr w14:paraId="66A381AB">
        <w:tblPrEx>
          <w:tblCellMar>
            <w:top w:w="15" w:type="dxa"/>
            <w:left w:w="15" w:type="dxa"/>
            <w:bottom w:w="0" w:type="dxa"/>
            <w:right w:w="15" w:type="dxa"/>
          </w:tblCellMar>
        </w:tblPrEx>
        <w:trPr>
          <w:trHeight w:val="610"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4E66F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color w:val="000000"/>
                <w:sz w:val="24"/>
                <w:highlight w:val="none"/>
                <w:lang w:val="en-US"/>
              </w:rPr>
            </w:pPr>
            <w:r>
              <w:rPr>
                <w:rFonts w:hint="eastAsia" w:ascii="宋体" w:hAnsi="宋体" w:cs="宋体"/>
                <w:color w:val="auto"/>
                <w:kern w:val="0"/>
                <w:sz w:val="24"/>
                <w:highlight w:val="none"/>
                <w:lang w:val="en-US" w:eastAsia="zh-CN"/>
              </w:rPr>
              <w:t>三菜（豇豆、芹菜、辣椒等）</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E0D7E">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7500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17B161">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7500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EE9941">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15000</w:t>
            </w:r>
          </w:p>
        </w:tc>
      </w:tr>
      <w:tr w14:paraId="4ED2BB7D">
        <w:tblPrEx>
          <w:tblCellMar>
            <w:top w:w="15" w:type="dxa"/>
            <w:left w:w="15" w:type="dxa"/>
            <w:bottom w:w="0" w:type="dxa"/>
            <w:right w:w="15" w:type="dxa"/>
          </w:tblCellMar>
        </w:tblPrEx>
        <w:trPr>
          <w:trHeight w:val="675"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47476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两蛋（鹌鹑蛋、鸡蛋等）</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58976">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EC5530">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CBC197">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4000</w:t>
            </w:r>
          </w:p>
        </w:tc>
      </w:tr>
      <w:tr w14:paraId="706EDCDC">
        <w:tblPrEx>
          <w:tblCellMar>
            <w:top w:w="15" w:type="dxa"/>
            <w:left w:w="15" w:type="dxa"/>
            <w:bottom w:w="0" w:type="dxa"/>
            <w:right w:w="15" w:type="dxa"/>
          </w:tblCellMar>
        </w:tblPrEx>
        <w:trPr>
          <w:trHeight w:val="675"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E7DB9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果蔬等</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907022">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25000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63F962">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25000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EF5B59">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50000</w:t>
            </w:r>
          </w:p>
        </w:tc>
      </w:tr>
      <w:tr w14:paraId="72BE71AF">
        <w:tblPrEx>
          <w:tblCellMar>
            <w:top w:w="15" w:type="dxa"/>
            <w:left w:w="15" w:type="dxa"/>
            <w:bottom w:w="0" w:type="dxa"/>
            <w:right w:w="15" w:type="dxa"/>
          </w:tblCellMar>
        </w:tblPrEx>
        <w:trPr>
          <w:trHeight w:val="675"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92193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畜禽肉</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09F216">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12000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434E98">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12000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9BB081">
            <w:pPr>
              <w:keepNext w:val="0"/>
              <w:keepLines w:val="0"/>
              <w:widowControl/>
              <w:suppressLineNumbers w:val="0"/>
              <w:jc w:val="center"/>
              <w:textAlignment w:val="center"/>
              <w:rPr>
                <w:rFonts w:hint="default" w:ascii="宋体" w:hAnsi="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24000</w:t>
            </w:r>
          </w:p>
        </w:tc>
      </w:tr>
      <w:tr w14:paraId="7F5BBE4D">
        <w:tblPrEx>
          <w:tblCellMar>
            <w:top w:w="15" w:type="dxa"/>
            <w:left w:w="15" w:type="dxa"/>
            <w:bottom w:w="0" w:type="dxa"/>
            <w:right w:w="15" w:type="dxa"/>
          </w:tblCellMar>
        </w:tblPrEx>
        <w:trPr>
          <w:trHeight w:val="624"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DDF6B0">
            <w:pPr>
              <w:widowControl/>
              <w:spacing w:line="500" w:lineRule="exact"/>
              <w:jc w:val="center"/>
              <w:rPr>
                <w:rFonts w:ascii="宋体" w:hAnsi="宋体" w:cs="宋体"/>
                <w:bCs/>
                <w:sz w:val="24"/>
                <w:highlight w:val="none"/>
              </w:rPr>
            </w:pPr>
            <w:r>
              <w:rPr>
                <w:rFonts w:hint="eastAsia" w:ascii="宋体" w:hAnsi="宋体" w:cs="宋体"/>
                <w:bCs/>
                <w:sz w:val="24"/>
                <w:highlight w:val="none"/>
              </w:rPr>
              <w:t>合计（批次）</w:t>
            </w:r>
          </w:p>
        </w:tc>
        <w:tc>
          <w:tcPr>
            <w:tcW w:w="19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A2EC8A">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71500</w:t>
            </w:r>
          </w:p>
        </w:tc>
        <w:tc>
          <w:tcPr>
            <w:tcW w:w="21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B93008">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71500</w:t>
            </w:r>
          </w:p>
        </w:tc>
        <w:tc>
          <w:tcPr>
            <w:tcW w:w="1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0B9245">
            <w:pPr>
              <w:keepNext w:val="0"/>
              <w:keepLines w:val="0"/>
              <w:widowControl/>
              <w:suppressLineNumbers w:val="0"/>
              <w:jc w:val="center"/>
              <w:textAlignment w:val="center"/>
              <w:rPr>
                <w:rFonts w:hint="default" w:ascii="宋体" w:hAnsi="宋体" w:eastAsia="宋体" w:cs="宋体"/>
                <w:bCs/>
                <w:sz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143000</w:t>
            </w:r>
          </w:p>
        </w:tc>
      </w:tr>
      <w:tr w14:paraId="63176C63">
        <w:tblPrEx>
          <w:tblCellMar>
            <w:top w:w="15" w:type="dxa"/>
            <w:left w:w="15" w:type="dxa"/>
            <w:bottom w:w="0" w:type="dxa"/>
            <w:right w:w="15" w:type="dxa"/>
          </w:tblCellMar>
        </w:tblPrEx>
        <w:trPr>
          <w:trHeight w:val="624" w:hRule="atLeast"/>
          <w:jc w:val="center"/>
        </w:trPr>
        <w:tc>
          <w:tcPr>
            <w:tcW w:w="208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06C3E0">
            <w:pPr>
              <w:widowControl/>
              <w:spacing w:line="500" w:lineRule="exact"/>
              <w:jc w:val="center"/>
              <w:rPr>
                <w:rFonts w:ascii="宋体" w:hAnsi="宋体" w:cs="宋体"/>
                <w:bCs/>
                <w:sz w:val="24"/>
                <w:highlight w:val="none"/>
              </w:rPr>
            </w:pPr>
            <w:r>
              <w:rPr>
                <w:rFonts w:hint="eastAsia" w:ascii="宋体" w:hAnsi="宋体"/>
                <w:sz w:val="24"/>
                <w:highlight w:val="none"/>
              </w:rPr>
              <w:t>最高限价</w:t>
            </w:r>
            <w:r>
              <w:rPr>
                <w:rFonts w:hint="eastAsia" w:ascii="宋体" w:hAnsi="宋体" w:cs="宋体"/>
                <w:sz w:val="24"/>
                <w:highlight w:val="none"/>
              </w:rPr>
              <w:t>（万元）</w:t>
            </w:r>
          </w:p>
        </w:tc>
        <w:tc>
          <w:tcPr>
            <w:tcW w:w="100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C2BF74">
            <w:pPr>
              <w:widowControl/>
              <w:spacing w:line="500" w:lineRule="exact"/>
              <w:jc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180</w:t>
            </w:r>
          </w:p>
        </w:tc>
        <w:tc>
          <w:tcPr>
            <w:tcW w:w="107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490E76">
            <w:pPr>
              <w:widowControl/>
              <w:spacing w:line="5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180</w:t>
            </w:r>
          </w:p>
        </w:tc>
        <w:tc>
          <w:tcPr>
            <w:tcW w:w="83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F8196B">
            <w:pPr>
              <w:spacing w:line="5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360</w:t>
            </w:r>
          </w:p>
        </w:tc>
      </w:tr>
    </w:tbl>
    <w:p w14:paraId="58469C1E">
      <w:pPr>
        <w:pStyle w:val="21"/>
        <w:rPr>
          <w:color w:val="auto"/>
        </w:rPr>
      </w:pPr>
    </w:p>
    <w:p w14:paraId="27E00C88">
      <w:pPr>
        <w:spacing w:line="500" w:lineRule="exact"/>
        <w:ind w:firstLine="480" w:firstLineChars="200"/>
        <w:rPr>
          <w:rFonts w:ascii="Arial" w:hAnsi="Arial" w:cs="Arial"/>
          <w:bCs/>
          <w:sz w:val="24"/>
        </w:rPr>
      </w:pPr>
      <w:r>
        <w:rPr>
          <w:rFonts w:hint="eastAsia" w:ascii="宋体" w:hAnsi="宋体" w:cs="宋体"/>
          <w:sz w:val="24"/>
        </w:rPr>
        <w:t>注：</w:t>
      </w:r>
      <w:r>
        <w:rPr>
          <w:rFonts w:hint="eastAsia" w:ascii="宋体" w:hAnsi="宋体"/>
          <w:bCs/>
          <w:sz w:val="24"/>
        </w:rPr>
        <w:t>（1）抽样品种和批次根据实际情况调整，如未能达到合同约定的检验批次，则按照实际抽样批次</w:t>
      </w:r>
      <w:r>
        <w:rPr>
          <w:rFonts w:ascii="Arial" w:hAnsi="Arial" w:cs="Arial"/>
          <w:bCs/>
          <w:sz w:val="24"/>
        </w:rPr>
        <w:t>×</w:t>
      </w:r>
      <w:r>
        <w:rPr>
          <w:rFonts w:hint="eastAsia" w:ascii="Arial" w:hAnsi="Arial" w:cs="Arial"/>
          <w:bCs/>
          <w:sz w:val="24"/>
        </w:rPr>
        <w:t>中标单价计算总价。</w:t>
      </w:r>
    </w:p>
    <w:p w14:paraId="03869C22">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cs="宋体"/>
          <w:bCs/>
          <w:sz w:val="24"/>
        </w:rPr>
        <w:t>（2）</w:t>
      </w:r>
      <w:r>
        <w:rPr>
          <w:rFonts w:hint="eastAsia" w:ascii="宋体" w:hAnsi="宋体"/>
          <w:bCs/>
          <w:sz w:val="24"/>
        </w:rPr>
        <w:t>本次招标项目共分2个包，各供应商可对本项目部分包或全部包进行投标，供应商投某一包时，必须对该包的全部内容进行投标，否则，采购人不予接受,但每个供应商仅能中一个包，定包顺序为包一</w:t>
      </w:r>
      <w:r>
        <w:rPr>
          <w:rFonts w:hint="eastAsia" w:ascii="宋体" w:hAnsi="宋体"/>
          <w:bCs/>
          <w:sz w:val="24"/>
          <w:lang w:val="en-US" w:eastAsia="zh-CN"/>
        </w:rPr>
        <w:t xml:space="preserve"> </w:t>
      </w:r>
      <w:r>
        <w:rPr>
          <w:rFonts w:hint="eastAsia" w:ascii="宋体" w:hAnsi="宋体"/>
          <w:bCs/>
          <w:sz w:val="24"/>
        </w:rPr>
        <w:t>→</w:t>
      </w:r>
      <w:r>
        <w:rPr>
          <w:rFonts w:hint="eastAsia" w:ascii="宋体" w:hAnsi="宋体"/>
          <w:bCs/>
          <w:sz w:val="24"/>
          <w:lang w:val="en-US" w:eastAsia="zh-CN"/>
        </w:rPr>
        <w:t xml:space="preserve"> </w:t>
      </w:r>
      <w:r>
        <w:rPr>
          <w:rFonts w:hint="eastAsia" w:ascii="宋体" w:hAnsi="宋体"/>
          <w:bCs/>
          <w:sz w:val="24"/>
        </w:rPr>
        <w:t>包二，在上一包评审中被确定为成交人的供应商，其报价可继续参与下一包的评审，但不再被推荐为下一包的成交供应商。</w:t>
      </w:r>
    </w:p>
    <w:p w14:paraId="454D8868">
      <w:pPr>
        <w:spacing w:line="500" w:lineRule="exact"/>
        <w:ind w:firstLine="480"/>
        <w:rPr>
          <w:rFonts w:hint="eastAsia" w:ascii="宋体" w:hAnsi="宋体" w:cs="宋体" w:eastAsiaTheme="minorEastAsia"/>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bCs/>
          <w:sz w:val="24"/>
        </w:rPr>
        <w:t>自本合同签订之日起52周内完成</w:t>
      </w:r>
      <w:r>
        <w:rPr>
          <w:rFonts w:hint="eastAsia" w:ascii="宋体" w:hAnsi="宋体"/>
          <w:bCs/>
          <w:sz w:val="24"/>
          <w:lang w:eastAsia="zh-CN"/>
        </w:rPr>
        <w:t>。</w:t>
      </w:r>
    </w:p>
    <w:p w14:paraId="5C6ED1A2">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不接受</w:t>
      </w:r>
      <w:r>
        <w:rPr>
          <w:rFonts w:hint="eastAsia" w:ascii="宋体" w:hAnsi="宋体" w:eastAsia="宋体" w:cs="宋体"/>
          <w:i w:val="0"/>
          <w:iCs w:val="0"/>
          <w:caps w:val="0"/>
          <w:color w:val="auto"/>
          <w:spacing w:val="0"/>
          <w:sz w:val="24"/>
          <w:szCs w:val="24"/>
          <w:highlight w:val="none"/>
          <w:shd w:val="clear" w:color="auto" w:fill="auto"/>
          <w:lang w:val="en-US" w:eastAsia="zh-CN"/>
        </w:rPr>
        <w:t>联合体参与磋商。</w:t>
      </w:r>
    </w:p>
    <w:p w14:paraId="6A37C2F4">
      <w:pPr>
        <w:pStyle w:val="16"/>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14" w:name="_Toc28359080"/>
      <w:bookmarkStart w:id="15" w:name="_Toc35393791"/>
      <w:bookmarkStart w:id="16" w:name="_Toc35393622"/>
      <w:bookmarkStart w:id="17" w:name="_Toc38985264"/>
      <w:bookmarkStart w:id="18" w:name="_Toc28359003"/>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30FFF969">
      <w:pPr>
        <w:spacing w:line="500" w:lineRule="exact"/>
        <w:ind w:firstLine="480"/>
        <w:rPr>
          <w:rFonts w:hint="eastAsia" w:ascii="宋体" w:hAnsi="宋体"/>
          <w:bCs/>
          <w:sz w:val="24"/>
        </w:rPr>
      </w:pPr>
      <w:r>
        <w:rPr>
          <w:rFonts w:hint="eastAsia" w:ascii="宋体" w:hAnsi="宋体"/>
          <w:bCs/>
          <w:sz w:val="24"/>
        </w:rPr>
        <w:t>1.满足《中华人民共和国政府采购法》第二十二条规定，并提供下列材料：</w:t>
      </w:r>
    </w:p>
    <w:p w14:paraId="3137D08B">
      <w:pPr>
        <w:spacing w:line="500" w:lineRule="exact"/>
        <w:ind w:firstLine="480"/>
        <w:rPr>
          <w:rFonts w:hint="eastAsia" w:ascii="宋体" w:hAnsi="宋体"/>
          <w:bCs/>
          <w:sz w:val="24"/>
        </w:rPr>
      </w:pPr>
      <w:r>
        <w:rPr>
          <w:rFonts w:hint="eastAsia" w:ascii="宋体" w:hAnsi="宋体"/>
          <w:bCs/>
          <w:sz w:val="24"/>
        </w:rPr>
        <w:t>1.1 法人或者其他组织的营业执照等证明文件，自然人的身份证明；</w:t>
      </w:r>
    </w:p>
    <w:p w14:paraId="565F4DE8">
      <w:pPr>
        <w:spacing w:line="500" w:lineRule="exact"/>
        <w:ind w:firstLine="480"/>
        <w:rPr>
          <w:rFonts w:hint="eastAsia" w:ascii="宋体" w:hAnsi="宋体"/>
          <w:bCs/>
          <w:sz w:val="24"/>
        </w:rPr>
      </w:pPr>
      <w:r>
        <w:rPr>
          <w:rFonts w:hint="eastAsia" w:ascii="宋体" w:hAnsi="宋体"/>
          <w:bCs/>
          <w:sz w:val="24"/>
        </w:rPr>
        <w:t>1.2上一年度的财务状况报</w:t>
      </w:r>
      <w:r>
        <w:rPr>
          <w:rFonts w:hint="eastAsia" w:ascii="宋体" w:hAnsi="宋体"/>
          <w:bCs/>
          <w:sz w:val="24"/>
          <w:lang w:val="en-US" w:eastAsia="zh-CN"/>
        </w:rPr>
        <w:t>告</w:t>
      </w:r>
      <w:r>
        <w:rPr>
          <w:rFonts w:hint="eastAsia" w:ascii="宋体" w:hAnsi="宋体"/>
          <w:bCs/>
          <w:sz w:val="24"/>
        </w:rPr>
        <w:t>（成立不满一年无需提供）；</w:t>
      </w:r>
    </w:p>
    <w:p w14:paraId="3A6CE872">
      <w:pPr>
        <w:spacing w:line="500" w:lineRule="exact"/>
        <w:ind w:firstLine="480"/>
        <w:rPr>
          <w:rFonts w:hint="eastAsia" w:ascii="宋体" w:hAnsi="宋体"/>
          <w:bCs/>
          <w:sz w:val="24"/>
          <w:lang w:val="en-US" w:eastAsia="zh-CN"/>
        </w:rPr>
      </w:pPr>
      <w:r>
        <w:rPr>
          <w:rFonts w:hint="eastAsia" w:ascii="宋体" w:hAnsi="宋体"/>
          <w:bCs/>
          <w:sz w:val="24"/>
          <w:lang w:val="en-US" w:eastAsia="zh-CN"/>
        </w:rPr>
        <w:t>1.3</w:t>
      </w:r>
      <w:r>
        <w:rPr>
          <w:rFonts w:hint="eastAsia" w:ascii="宋体" w:hAnsi="宋体"/>
          <w:bCs/>
          <w:sz w:val="24"/>
        </w:rPr>
        <w:t>具备履行合同所必需的设备和专业技术能力的书面声明；</w:t>
      </w:r>
    </w:p>
    <w:p w14:paraId="728D2499">
      <w:pPr>
        <w:spacing w:line="500" w:lineRule="exact"/>
        <w:ind w:firstLine="480"/>
        <w:rPr>
          <w:rFonts w:hint="eastAsia" w:ascii="宋体" w:hAnsi="宋体"/>
          <w:bCs/>
          <w:sz w:val="24"/>
        </w:rPr>
      </w:pPr>
      <w:r>
        <w:rPr>
          <w:rFonts w:hint="eastAsia" w:ascii="宋体" w:hAnsi="宋体"/>
          <w:bCs/>
          <w:sz w:val="24"/>
        </w:rPr>
        <w:t>1.</w:t>
      </w:r>
      <w:r>
        <w:rPr>
          <w:rFonts w:hint="eastAsia" w:ascii="宋体" w:hAnsi="宋体"/>
          <w:bCs/>
          <w:sz w:val="24"/>
          <w:lang w:val="en-US" w:eastAsia="zh-CN"/>
        </w:rPr>
        <w:t>4</w:t>
      </w:r>
      <w:r>
        <w:rPr>
          <w:rFonts w:hint="eastAsia" w:ascii="宋体" w:hAnsi="宋体"/>
          <w:bCs/>
          <w:sz w:val="24"/>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spacing w:line="500" w:lineRule="exact"/>
        <w:ind w:firstLine="480"/>
        <w:rPr>
          <w:rFonts w:hint="eastAsia" w:ascii="宋体" w:hAnsi="宋体"/>
          <w:bCs/>
          <w:sz w:val="24"/>
        </w:rPr>
      </w:pPr>
      <w:r>
        <w:rPr>
          <w:rFonts w:hint="eastAsia" w:ascii="宋体" w:hAnsi="宋体"/>
          <w:bCs/>
          <w:sz w:val="24"/>
          <w:lang w:val="en-US" w:eastAsia="zh-CN"/>
        </w:rPr>
        <w:t>1</w:t>
      </w:r>
      <w:r>
        <w:rPr>
          <w:rFonts w:hint="eastAsia" w:ascii="宋体" w:hAnsi="宋体"/>
          <w:bCs/>
          <w:sz w:val="24"/>
        </w:rPr>
        <w:t>.5参加政府采购活动前3年内在经营活动中没有重大违法记录的书面声明。</w:t>
      </w:r>
    </w:p>
    <w:p w14:paraId="17271903">
      <w:pPr>
        <w:spacing w:line="500" w:lineRule="exact"/>
        <w:ind w:firstLine="480"/>
        <w:rPr>
          <w:rFonts w:hint="eastAsia" w:ascii="宋体" w:hAnsi="宋体"/>
          <w:bCs/>
          <w:sz w:val="24"/>
          <w:lang w:val="en-US" w:eastAsia="zh-CN"/>
        </w:rPr>
      </w:pPr>
      <w:r>
        <w:rPr>
          <w:rFonts w:hint="eastAsia" w:ascii="宋体" w:hAnsi="宋体"/>
          <w:bCs/>
          <w:sz w:val="24"/>
          <w:lang w:val="en-US" w:eastAsia="zh-CN"/>
        </w:rPr>
        <w:t>1.6法律、行政法规规定的其他条件。</w:t>
      </w:r>
    </w:p>
    <w:p w14:paraId="654AAD83">
      <w:pPr>
        <w:spacing w:line="500" w:lineRule="exact"/>
        <w:ind w:firstLine="480"/>
        <w:rPr>
          <w:rFonts w:hint="eastAsia" w:ascii="宋体" w:hAnsi="宋体"/>
          <w:bCs/>
          <w:sz w:val="24"/>
        </w:rPr>
      </w:pPr>
      <w:r>
        <w:rPr>
          <w:rFonts w:hint="eastAsia" w:ascii="宋体" w:hAnsi="宋体"/>
          <w:bCs/>
          <w:sz w:val="24"/>
          <w:lang w:val="en-US" w:eastAsia="zh-CN"/>
        </w:rPr>
        <w:t>1.7</w:t>
      </w:r>
      <w:r>
        <w:rPr>
          <w:rFonts w:hint="eastAsia" w:ascii="宋体" w:hAnsi="宋体"/>
          <w:bCs/>
          <w:sz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spacing w:line="500" w:lineRule="exact"/>
        <w:ind w:firstLine="480"/>
        <w:rPr>
          <w:rFonts w:hint="eastAsia" w:ascii="宋体" w:hAnsi="宋体"/>
          <w:bCs/>
          <w:sz w:val="24"/>
        </w:rPr>
      </w:pPr>
      <w:r>
        <w:rPr>
          <w:rFonts w:hint="eastAsia" w:ascii="宋体" w:hAnsi="宋体"/>
          <w:bCs/>
          <w:sz w:val="24"/>
          <w:lang w:val="en-US" w:eastAsia="zh-CN"/>
        </w:rPr>
        <w:t>1.8</w:t>
      </w:r>
      <w:r>
        <w:rPr>
          <w:rFonts w:hint="eastAsia" w:ascii="宋体" w:hAnsi="宋体"/>
          <w:bCs/>
          <w:sz w:val="24"/>
        </w:rPr>
        <w:t>单位负责人为同一人或者存在直接控股、</w:t>
      </w:r>
      <w:r>
        <w:rPr>
          <w:rFonts w:hint="eastAsia" w:ascii="宋体" w:hAnsi="宋体"/>
          <w:bCs/>
          <w:sz w:val="24"/>
          <w:lang w:val="en-US" w:eastAsia="zh-CN"/>
        </w:rPr>
        <w:t>管理</w:t>
      </w:r>
      <w:r>
        <w:rPr>
          <w:rFonts w:hint="eastAsia" w:ascii="宋体" w:hAnsi="宋体"/>
          <w:bCs/>
          <w:sz w:val="24"/>
        </w:rPr>
        <w:t>关系的不同供应商，不得参加同一合同项下的政府采购活动。</w:t>
      </w:r>
    </w:p>
    <w:p w14:paraId="7B6541D0">
      <w:pPr>
        <w:spacing w:line="500" w:lineRule="exact"/>
        <w:ind w:firstLine="480"/>
        <w:rPr>
          <w:rFonts w:hint="eastAsia" w:ascii="宋体" w:hAnsi="宋体"/>
          <w:bCs/>
          <w:sz w:val="24"/>
        </w:rPr>
      </w:pPr>
      <w:r>
        <w:rPr>
          <w:rFonts w:hint="eastAsia" w:ascii="宋体" w:hAnsi="宋体"/>
          <w:bCs/>
          <w:sz w:val="24"/>
        </w:rPr>
        <w:t>2</w:t>
      </w:r>
      <w:r>
        <w:rPr>
          <w:rFonts w:hint="eastAsia" w:ascii="宋体" w:hAnsi="宋体"/>
          <w:bCs/>
          <w:sz w:val="24"/>
          <w:lang w:val="en-US" w:eastAsia="zh-CN"/>
        </w:rPr>
        <w:t>.</w:t>
      </w:r>
      <w:r>
        <w:rPr>
          <w:rFonts w:hint="eastAsia" w:ascii="宋体" w:hAnsi="宋体"/>
          <w:bCs/>
          <w:sz w:val="24"/>
        </w:rPr>
        <w:t>落实政府采购政策需满足的资格要求：</w:t>
      </w:r>
      <w:r>
        <w:rPr>
          <w:rFonts w:hint="eastAsia" w:ascii="宋体" w:hAnsi="宋体"/>
          <w:b/>
          <w:sz w:val="24"/>
        </w:rPr>
        <w:t>本项目为专门面向中小企业采购的项目，供应商须为中小微企业，不接受大型企业参与本项目投标。（具体中小企业划分标准详见《关于印发中小企业划型标准规定的通知》工信部联企业〔2011〕300号）文件，供应商投标时须提供《中小型企业声明函》，否则按无效响应处理。</w:t>
      </w:r>
    </w:p>
    <w:p w14:paraId="6718CED0">
      <w:pPr>
        <w:spacing w:line="500" w:lineRule="exact"/>
        <w:ind w:firstLine="480"/>
        <w:rPr>
          <w:rFonts w:hint="eastAsia" w:ascii="宋体" w:hAnsi="宋体"/>
          <w:bCs/>
          <w:sz w:val="24"/>
          <w:lang w:val="en-US" w:eastAsia="zh-CN"/>
        </w:rPr>
      </w:pPr>
      <w:r>
        <w:rPr>
          <w:rFonts w:hint="eastAsia" w:ascii="宋体" w:hAnsi="宋体"/>
          <w:bCs/>
          <w:sz w:val="24"/>
          <w:lang w:val="en-US" w:eastAsia="zh-CN"/>
        </w:rPr>
        <w:t>3.</w:t>
      </w:r>
      <w:r>
        <w:rPr>
          <w:rFonts w:hint="eastAsia" w:ascii="宋体" w:hAnsi="宋体"/>
          <w:bCs/>
          <w:sz w:val="24"/>
        </w:rPr>
        <w:t>本项目的特定资格要求</w:t>
      </w:r>
      <w:r>
        <w:rPr>
          <w:rFonts w:hint="eastAsia" w:ascii="宋体" w:hAnsi="宋体"/>
          <w:bCs/>
          <w:sz w:val="24"/>
          <w:lang w:eastAsia="zh-CN"/>
        </w:rPr>
        <w:t>：</w:t>
      </w:r>
      <w:r>
        <w:rPr>
          <w:rFonts w:hint="eastAsia" w:ascii="宋体" w:hAnsi="宋体"/>
          <w:bCs/>
          <w:sz w:val="24"/>
          <w:lang w:val="en-US" w:eastAsia="zh-CN"/>
        </w:rPr>
        <w:t>无</w:t>
      </w:r>
    </w:p>
    <w:p w14:paraId="0D68C2DA">
      <w:pPr>
        <w:pStyle w:val="16"/>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15F91AA5">
      <w:pPr>
        <w:spacing w:line="500" w:lineRule="exact"/>
        <w:ind w:firstLine="480"/>
        <w:rPr>
          <w:rFonts w:hint="eastAsia" w:ascii="宋体" w:hAnsi="宋体"/>
          <w:bCs/>
          <w:sz w:val="24"/>
          <w:lang w:val="en-US" w:eastAsia="zh-CN"/>
        </w:rPr>
      </w:pPr>
      <w:bookmarkStart w:id="19" w:name="_Toc28359005"/>
      <w:bookmarkStart w:id="20" w:name="_Toc35393793"/>
      <w:bookmarkStart w:id="21" w:name="_Toc28359082"/>
      <w:bookmarkStart w:id="22" w:name="_Toc38985266"/>
      <w:bookmarkStart w:id="23" w:name="_Toc35393624"/>
      <w:r>
        <w:rPr>
          <w:rFonts w:hint="eastAsia" w:ascii="宋体" w:hAnsi="宋体"/>
          <w:bCs/>
          <w:sz w:val="24"/>
        </w:rPr>
        <w:t>1.时间：</w:t>
      </w:r>
      <w:r>
        <w:rPr>
          <w:rFonts w:hint="eastAsia" w:ascii="宋体" w:hAnsi="宋体"/>
          <w:bCs/>
          <w:sz w:val="24"/>
          <w:lang w:val="en-US" w:eastAsia="zh-CN"/>
        </w:rPr>
        <w:t>自磋商文件公告发布之日起5个工作日。</w:t>
      </w:r>
      <w:bookmarkEnd w:id="19"/>
      <w:bookmarkEnd w:id="20"/>
      <w:bookmarkEnd w:id="21"/>
      <w:bookmarkEnd w:id="22"/>
      <w:bookmarkEnd w:id="23"/>
    </w:p>
    <w:p w14:paraId="3FE7E4A2">
      <w:pPr>
        <w:spacing w:line="500" w:lineRule="exact"/>
        <w:ind w:firstLine="480"/>
        <w:rPr>
          <w:rFonts w:hint="eastAsia" w:ascii="宋体" w:hAnsi="宋体"/>
          <w:bCs/>
          <w:sz w:val="24"/>
          <w:lang w:val="en-US" w:eastAsia="zh-CN"/>
        </w:rPr>
      </w:pPr>
      <w:r>
        <w:rPr>
          <w:rFonts w:hint="eastAsia" w:ascii="宋体" w:hAnsi="宋体"/>
          <w:bCs/>
          <w:sz w:val="24"/>
          <w:lang w:val="en-US" w:eastAsia="zh-CN"/>
        </w:rPr>
        <w:t>2.地点：“苏采云”系统内免费下载（投标人必须在苏采云系统中获取磋商文件，方能参与政府采购项目）；</w:t>
      </w:r>
    </w:p>
    <w:p w14:paraId="1CD7F0EF">
      <w:pPr>
        <w:spacing w:line="500" w:lineRule="exact"/>
        <w:ind w:firstLine="480"/>
        <w:rPr>
          <w:rFonts w:hint="eastAsia" w:ascii="宋体" w:hAnsi="宋体"/>
          <w:bCs/>
          <w:sz w:val="24"/>
          <w:lang w:val="en-US" w:eastAsia="zh-CN"/>
        </w:rPr>
      </w:pPr>
      <w:r>
        <w:rPr>
          <w:rFonts w:hint="eastAsia" w:ascii="宋体" w:hAnsi="宋体"/>
          <w:bCs/>
          <w:sz w:val="24"/>
          <w:lang w:val="en-US" w:eastAsia="zh-CN"/>
        </w:rPr>
        <w:t xml:space="preserve">3.方式：本项目采用网上注册登记方式。 </w:t>
      </w:r>
    </w:p>
    <w:p w14:paraId="51A260B9">
      <w:pPr>
        <w:spacing w:line="500" w:lineRule="exact"/>
        <w:ind w:firstLine="480"/>
        <w:rPr>
          <w:rFonts w:hint="eastAsia" w:ascii="宋体" w:hAnsi="宋体"/>
          <w:bCs/>
          <w:sz w:val="24"/>
          <w:lang w:val="en-US"/>
        </w:rPr>
      </w:pPr>
      <w:r>
        <w:rPr>
          <w:rFonts w:hint="eastAsia" w:ascii="宋体" w:hAnsi="宋体"/>
          <w:bCs/>
          <w:sz w:val="24"/>
          <w:lang w:val="en-US" w:eastAsia="zh-CN"/>
        </w:rPr>
        <w:t>4.售价：0元</w:t>
      </w:r>
    </w:p>
    <w:p w14:paraId="42C6071C">
      <w:pPr>
        <w:pStyle w:val="16"/>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7AE798B8">
      <w:pPr>
        <w:spacing w:line="500" w:lineRule="exact"/>
        <w:ind w:firstLine="480"/>
        <w:rPr>
          <w:rFonts w:hint="eastAsia" w:ascii="宋体" w:hAnsi="宋体"/>
          <w:bCs/>
          <w:sz w:val="24"/>
          <w:lang w:val="en-US" w:eastAsia="zh-CN"/>
        </w:rPr>
      </w:pPr>
      <w:r>
        <w:rPr>
          <w:rFonts w:hint="eastAsia" w:ascii="宋体" w:hAnsi="宋体"/>
          <w:bCs/>
          <w:sz w:val="24"/>
          <w:lang w:val="en-US" w:eastAsia="zh-CN"/>
        </w:rPr>
        <w:t>1.截止时间：2025年12月9日9点00分（北京时间）。</w:t>
      </w:r>
    </w:p>
    <w:p w14:paraId="21BA548A">
      <w:pPr>
        <w:spacing w:line="500" w:lineRule="exact"/>
        <w:ind w:firstLine="480"/>
        <w:rPr>
          <w:rFonts w:hint="eastAsia" w:ascii="宋体" w:hAnsi="宋体"/>
          <w:bCs/>
          <w:sz w:val="24"/>
          <w:lang w:val="en-US" w:eastAsia="zh-CN"/>
        </w:rPr>
      </w:pPr>
      <w:r>
        <w:rPr>
          <w:rFonts w:hint="eastAsia" w:ascii="宋体" w:hAnsi="宋体"/>
          <w:bCs/>
          <w:sz w:val="24"/>
          <w:lang w:val="en-US" w:eastAsia="zh-CN"/>
        </w:rPr>
        <w:t>2.地点：苏采云“不见面”开标大厅 。</w:t>
      </w:r>
    </w:p>
    <w:p w14:paraId="24D6D9FB">
      <w:pPr>
        <w:spacing w:line="500" w:lineRule="exact"/>
        <w:ind w:firstLine="480"/>
        <w:rPr>
          <w:rFonts w:hint="eastAsia" w:ascii="宋体" w:hAnsi="宋体"/>
          <w:bCs/>
          <w:sz w:val="24"/>
          <w:lang w:val="en-US" w:eastAsia="zh-CN"/>
        </w:rPr>
      </w:pPr>
      <w:bookmarkStart w:id="24" w:name="_Toc35393626"/>
      <w:bookmarkStart w:id="25" w:name="_Toc38985268"/>
      <w:bookmarkStart w:id="26" w:name="_Toc35393795"/>
      <w:r>
        <w:rPr>
          <w:rFonts w:hint="eastAsia" w:ascii="宋体" w:hAnsi="宋体"/>
          <w:bCs/>
          <w:sz w:val="24"/>
          <w:lang w:val="en-US" w:eastAsia="zh-CN"/>
        </w:rPr>
        <w:t>五、开启</w:t>
      </w:r>
    </w:p>
    <w:p w14:paraId="474FF7F3">
      <w:pPr>
        <w:spacing w:line="500" w:lineRule="exact"/>
        <w:ind w:firstLine="480"/>
        <w:rPr>
          <w:rFonts w:hint="eastAsia" w:ascii="宋体" w:hAnsi="宋体"/>
          <w:bCs/>
          <w:sz w:val="24"/>
          <w:lang w:val="en-US" w:eastAsia="zh-CN"/>
        </w:rPr>
      </w:pPr>
      <w:r>
        <w:rPr>
          <w:rFonts w:hint="eastAsia" w:ascii="宋体" w:hAnsi="宋体"/>
          <w:bCs/>
          <w:sz w:val="24"/>
          <w:lang w:val="en-US" w:eastAsia="zh-CN"/>
        </w:rPr>
        <w:t>1.时间：2025年12月9日9点00分（北京时间）。</w:t>
      </w:r>
      <w:bookmarkEnd w:id="24"/>
      <w:bookmarkEnd w:id="25"/>
      <w:bookmarkEnd w:id="26"/>
    </w:p>
    <w:p w14:paraId="077143D5">
      <w:pPr>
        <w:spacing w:line="500" w:lineRule="exact"/>
        <w:ind w:firstLine="480"/>
        <w:rPr>
          <w:rFonts w:hint="eastAsia" w:ascii="宋体" w:hAnsi="宋体"/>
          <w:bCs/>
          <w:sz w:val="24"/>
          <w:lang w:val="en-US" w:eastAsia="zh-CN"/>
        </w:rPr>
      </w:pPr>
      <w:r>
        <w:rPr>
          <w:rFonts w:hint="eastAsia" w:ascii="宋体" w:hAnsi="宋体"/>
          <w:bCs/>
          <w:sz w:val="24"/>
          <w:lang w:val="en-US" w:eastAsia="zh-CN"/>
        </w:rPr>
        <w:t>2.地点：苏采云“不见面”开标大厅 。</w:t>
      </w:r>
    </w:p>
    <w:p w14:paraId="07D074C3">
      <w:pPr>
        <w:spacing w:line="500" w:lineRule="exact"/>
        <w:ind w:firstLine="480"/>
        <w:rPr>
          <w:rFonts w:hint="eastAsia" w:ascii="宋体" w:hAnsi="宋体"/>
          <w:b/>
          <w:bCs w:val="0"/>
          <w:sz w:val="24"/>
          <w:lang w:val="en-US" w:eastAsia="zh-CN"/>
        </w:rPr>
      </w:pPr>
      <w:bookmarkStart w:id="27" w:name="_Toc28359094"/>
      <w:r>
        <w:rPr>
          <w:rFonts w:hint="eastAsia" w:ascii="宋体" w:hAnsi="宋体"/>
          <w:b/>
          <w:bCs w:val="0"/>
          <w:sz w:val="24"/>
          <w:lang w:val="en-US" w:eastAsia="zh-CN"/>
        </w:rPr>
        <w:t>六、公告期限</w:t>
      </w:r>
      <w:bookmarkEnd w:id="27"/>
    </w:p>
    <w:p w14:paraId="3E485BB2">
      <w:pPr>
        <w:spacing w:line="500" w:lineRule="exact"/>
        <w:ind w:firstLine="480"/>
        <w:rPr>
          <w:rFonts w:hint="eastAsia" w:ascii="宋体" w:hAnsi="宋体"/>
          <w:bCs/>
          <w:sz w:val="24"/>
          <w:lang w:val="en-US" w:eastAsia="zh-CN"/>
        </w:rPr>
      </w:pPr>
      <w:r>
        <w:rPr>
          <w:rFonts w:hint="eastAsia" w:ascii="宋体" w:hAnsi="宋体"/>
          <w:bCs/>
          <w:sz w:val="24"/>
          <w:lang w:val="en-US" w:eastAsia="zh-CN"/>
        </w:rPr>
        <w:t>自本公告发布之日起3个工作日。</w:t>
      </w:r>
    </w:p>
    <w:p w14:paraId="3718DB75">
      <w:pPr>
        <w:spacing w:line="500" w:lineRule="exact"/>
        <w:ind w:firstLine="480"/>
        <w:rPr>
          <w:rFonts w:hint="eastAsia" w:ascii="宋体" w:hAnsi="宋体"/>
          <w:b/>
          <w:bCs w:val="0"/>
          <w:sz w:val="24"/>
          <w:lang w:val="en-US" w:eastAsia="zh-CN"/>
        </w:rPr>
      </w:pPr>
      <w:r>
        <w:rPr>
          <w:rFonts w:hint="eastAsia" w:ascii="宋体" w:hAnsi="宋体"/>
          <w:b/>
          <w:bCs w:val="0"/>
          <w:sz w:val="24"/>
          <w:lang w:val="en-US" w:eastAsia="zh-CN"/>
        </w:rPr>
        <w:t>七、其他补充事宜</w:t>
      </w:r>
    </w:p>
    <w:p w14:paraId="7317D8B6">
      <w:pPr>
        <w:spacing w:line="500" w:lineRule="exact"/>
        <w:ind w:firstLine="480"/>
        <w:rPr>
          <w:rFonts w:hint="eastAsia" w:ascii="宋体" w:hAnsi="宋体"/>
          <w:bCs/>
          <w:sz w:val="24"/>
          <w:lang w:val="en-US" w:eastAsia="zh-CN"/>
        </w:rPr>
      </w:pPr>
      <w:bookmarkStart w:id="28" w:name="_Toc28359018"/>
      <w:r>
        <w:rPr>
          <w:rFonts w:hint="eastAsia" w:ascii="宋体" w:hAnsi="宋体"/>
          <w:bCs/>
          <w:sz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bCs/>
          <w:sz w:val="24"/>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i w:val="0"/>
          <w:iCs w:val="0"/>
          <w:caps w:val="0"/>
          <w:color w:val="auto"/>
          <w:spacing w:val="0"/>
          <w:sz w:val="24"/>
          <w:szCs w:val="24"/>
          <w:highlight w:val="none"/>
          <w:shd w:val="clear" w:color="auto" w:fill="auto"/>
          <w:lang w:val="en-US" w:eastAsia="zh-CN"/>
        </w:rPr>
        <w:t>响应文件,《苏采云系统供应商操作手册》：盐城市政府采购网点击【办事指南】-【供应商参与政府采购活动相关资料】。</w:t>
      </w:r>
    </w:p>
    <w:p w14:paraId="68E2D381">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2.潜在供应商访问电子招标响应交易平台的网络地址和方法： </w:t>
      </w:r>
    </w:p>
    <w:p w14:paraId="4731B584">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 潜在投标人访问“苏采云”系统方法：江苏省政府采购网首页-“苏采云”链接。 </w:t>
      </w:r>
    </w:p>
    <w:p w14:paraId="26C5B37D">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 磋商文件（后缀名为“.kedt”）、供应商操作手册及政府采购客户端 工具可通过“苏采云”系统相应链接进行下载。 </w:t>
      </w:r>
    </w:p>
    <w:p w14:paraId="122A2942">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 采购代理机构将数据电文形式的磋商文件加载至“苏采云”系统，供潜在供应商下载或者查阅。 </w:t>
      </w:r>
    </w:p>
    <w:p w14:paraId="0638E762">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74E6B898">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741C0DCB">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3.有关本次磋商的事项若存在变动或修改，敬请及时关注采购代理机构在“中国政府采购网”“江苏政府采购网”“盐城市政府采购网”发布的更正公告。</w:t>
      </w:r>
    </w:p>
    <w:p w14:paraId="6B6B6688">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4.本次磋商不收取磋商保证金，不收取质量保证金。</w:t>
      </w:r>
    </w:p>
    <w:p w14:paraId="5DDFC4B3">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5.电子投标文件</w:t>
      </w:r>
      <w:r>
        <w:rPr>
          <w:rFonts w:hint="eastAsia" w:ascii="宋体" w:hAnsi="宋体"/>
          <w:sz w:val="24"/>
        </w:rPr>
        <w:t>一份(通过系统提交)；纸质投标文件正本一份，副本</w:t>
      </w:r>
      <w:r>
        <w:rPr>
          <w:rFonts w:hint="eastAsia" w:ascii="宋体" w:hAnsi="宋体"/>
          <w:sz w:val="24"/>
          <w:lang w:val="en-US" w:eastAsia="zh-CN"/>
        </w:rPr>
        <w:t>三</w:t>
      </w:r>
      <w:r>
        <w:rPr>
          <w:rFonts w:hint="eastAsia" w:ascii="宋体" w:hAnsi="宋体"/>
          <w:sz w:val="24"/>
        </w:rPr>
        <w:t>份（评审结束后由中标候选人邮寄至江苏浩派项目管理有限公司，未中标单位不需要提供）。</w:t>
      </w:r>
    </w:p>
    <w:p w14:paraId="47A845C6">
      <w:pPr>
        <w:spacing w:line="500" w:lineRule="exact"/>
        <w:ind w:firstLine="480"/>
        <w:rPr>
          <w:rFonts w:hint="eastAsia" w:ascii="宋体" w:hAnsi="宋体" w:eastAsia="宋体" w:cs="宋体"/>
          <w:b/>
          <w:bCs/>
          <w:i w:val="0"/>
          <w:iCs w:val="0"/>
          <w:caps w:val="0"/>
          <w:color w:val="auto"/>
          <w:spacing w:val="0"/>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八、凡对本次采购提出询问，请按以下方式联系。</w:t>
      </w:r>
      <w:bookmarkEnd w:id="28"/>
    </w:p>
    <w:p w14:paraId="5E124BC4">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0D9566E0">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w:t>
      </w:r>
      <w:r>
        <w:rPr>
          <w:rFonts w:hint="eastAsia" w:ascii="宋体" w:hAnsi="宋体"/>
          <w:sz w:val="24"/>
          <w:u w:val="none"/>
        </w:rPr>
        <w:t>盐城市亭湖区市场监督管理局</w:t>
      </w:r>
    </w:p>
    <w:p w14:paraId="37C02745">
      <w:pPr>
        <w:spacing w:line="500" w:lineRule="exact"/>
        <w:ind w:firstLine="480"/>
        <w:jc w:val="left"/>
        <w:rPr>
          <w:rFonts w:ascii="宋体" w:hAnsi="宋体"/>
          <w:sz w:val="24"/>
          <w:u w:val="single"/>
        </w:rPr>
      </w:pPr>
      <w:r>
        <w:rPr>
          <w:rFonts w:hint="eastAsia" w:ascii="宋体" w:hAnsi="宋体" w:eastAsia="宋体" w:cs="宋体"/>
          <w:i w:val="0"/>
          <w:iCs w:val="0"/>
          <w:caps w:val="0"/>
          <w:color w:val="auto"/>
          <w:spacing w:val="0"/>
          <w:sz w:val="24"/>
          <w:szCs w:val="24"/>
          <w:highlight w:val="none"/>
          <w:shd w:val="clear" w:color="auto" w:fill="auto"/>
          <w:lang w:val="en-US" w:eastAsia="zh-CN"/>
        </w:rPr>
        <w:t>地 址：盐城市大庆中路78号</w:t>
      </w:r>
    </w:p>
    <w:p w14:paraId="61AF4BB8">
      <w:pPr>
        <w:spacing w:line="500" w:lineRule="exact"/>
        <w:ind w:firstLine="480"/>
        <w:jc w:val="left"/>
        <w:rPr>
          <w:rFonts w:ascii="宋体" w:hAnsi="宋体"/>
          <w:sz w:val="24"/>
        </w:rPr>
      </w:pPr>
      <w:r>
        <w:rPr>
          <w:rFonts w:hint="eastAsia" w:ascii="宋体" w:hAnsi="宋体"/>
          <w:sz w:val="24"/>
        </w:rPr>
        <w:t>联 系 人：</w:t>
      </w:r>
      <w:r>
        <w:rPr>
          <w:rFonts w:hint="eastAsia" w:ascii="宋体" w:hAnsi="宋体"/>
          <w:sz w:val="24"/>
          <w:u w:val="none"/>
        </w:rPr>
        <w:t xml:space="preserve">丁科长 </w:t>
      </w:r>
      <w:r>
        <w:rPr>
          <w:rFonts w:hint="eastAsia" w:ascii="宋体" w:hAnsi="宋体"/>
          <w:sz w:val="24"/>
        </w:rPr>
        <w:t xml:space="preserve">             </w:t>
      </w:r>
    </w:p>
    <w:p w14:paraId="51FEB0B5">
      <w:pPr>
        <w:spacing w:line="50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sz w:val="24"/>
        </w:rPr>
        <w:t>联系电话：</w:t>
      </w:r>
      <w:r>
        <w:rPr>
          <w:rFonts w:hint="eastAsia" w:ascii="宋体" w:hAnsi="宋体"/>
          <w:sz w:val="24"/>
          <w:u w:val="none"/>
        </w:rPr>
        <w:t>13365189107</w:t>
      </w:r>
    </w:p>
    <w:p w14:paraId="0FD1AEED">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163B9B56">
      <w:pPr>
        <w:spacing w:line="500" w:lineRule="exact"/>
        <w:ind w:firstLine="480"/>
        <w:jc w:val="left"/>
        <w:rPr>
          <w:rFonts w:hint="eastAsia" w:ascii="宋体" w:hAnsi="宋体"/>
          <w:sz w:val="24"/>
          <w:u w:val="none"/>
        </w:rPr>
      </w:pPr>
      <w:r>
        <w:rPr>
          <w:rFonts w:hint="eastAsia" w:ascii="宋体" w:hAnsi="宋体"/>
          <w:sz w:val="24"/>
          <w:u w:val="none"/>
          <w:lang w:val="en-US" w:eastAsia="zh-CN"/>
        </w:rPr>
        <w:t>名 称：</w:t>
      </w:r>
      <w:bookmarkStart w:id="29" w:name="_Toc28359087"/>
      <w:bookmarkStart w:id="30" w:name="_Toc28359010"/>
      <w:r>
        <w:rPr>
          <w:rFonts w:hint="eastAsia" w:ascii="宋体" w:hAnsi="宋体"/>
          <w:sz w:val="24"/>
          <w:u w:val="none"/>
        </w:rPr>
        <w:t xml:space="preserve">江苏浩派项目管理有限公司  </w:t>
      </w:r>
    </w:p>
    <w:p w14:paraId="07C2F768">
      <w:pPr>
        <w:spacing w:line="500" w:lineRule="exact"/>
        <w:ind w:firstLine="480"/>
        <w:jc w:val="left"/>
        <w:rPr>
          <w:rFonts w:hint="eastAsia" w:ascii="宋体" w:hAnsi="宋体"/>
          <w:sz w:val="24"/>
          <w:u w:val="none"/>
        </w:rPr>
      </w:pPr>
      <w:r>
        <w:rPr>
          <w:rFonts w:hint="eastAsia" w:ascii="宋体" w:hAnsi="宋体"/>
          <w:sz w:val="24"/>
          <w:u w:val="none"/>
        </w:rPr>
        <w:t>地</w:t>
      </w:r>
      <w:r>
        <w:rPr>
          <w:rFonts w:hint="eastAsia" w:ascii="宋体" w:hAnsi="宋体"/>
          <w:sz w:val="24"/>
          <w:u w:val="none"/>
          <w:lang w:val="en-US" w:eastAsia="zh-CN"/>
        </w:rPr>
        <w:t xml:space="preserve"> </w:t>
      </w:r>
      <w:r>
        <w:rPr>
          <w:rFonts w:hint="eastAsia" w:ascii="宋体" w:hAnsi="宋体"/>
          <w:sz w:val="24"/>
          <w:u w:val="none"/>
        </w:rPr>
        <w:t>址：亭湖区希望大道58号绿地商务城12幢4-722室</w:t>
      </w:r>
    </w:p>
    <w:p w14:paraId="5D99F6FE">
      <w:pPr>
        <w:spacing w:line="500" w:lineRule="exact"/>
        <w:ind w:firstLine="480"/>
        <w:jc w:val="left"/>
        <w:rPr>
          <w:rFonts w:hint="eastAsia" w:ascii="宋体" w:hAnsi="宋体"/>
          <w:sz w:val="24"/>
          <w:u w:val="none"/>
        </w:rPr>
      </w:pPr>
      <w:r>
        <w:rPr>
          <w:rFonts w:hint="eastAsia" w:ascii="宋体" w:hAnsi="宋体"/>
          <w:sz w:val="24"/>
          <w:u w:val="none"/>
        </w:rPr>
        <w:t>联系人：陆菲菲</w:t>
      </w:r>
    </w:p>
    <w:p w14:paraId="733ED21A">
      <w:pPr>
        <w:spacing w:line="50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sz w:val="24"/>
          <w:u w:val="none"/>
        </w:rPr>
        <w:t>联系电话：13815527069</w:t>
      </w:r>
      <w:bookmarkEnd w:id="29"/>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5BAF3E5B">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3F75821D">
      <w:pPr>
        <w:spacing w:line="500" w:lineRule="exact"/>
        <w:ind w:firstLine="480"/>
        <w:rPr>
          <w:rFonts w:hint="eastAsia" w:ascii="宋体" w:hAnsi="宋体" w:cs="宋体" w:eastAsiaTheme="minorEastAsia"/>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w:t>
      </w:r>
      <w:r>
        <w:rPr>
          <w:rFonts w:hint="eastAsia" w:ascii="宋体" w:hAnsi="宋体"/>
          <w:sz w:val="24"/>
          <w:u w:val="none"/>
        </w:rPr>
        <w:t>丁科长</w:t>
      </w:r>
      <w:r>
        <w:rPr>
          <w:rFonts w:hint="eastAsia" w:ascii="宋体" w:hAnsi="宋体"/>
          <w:sz w:val="24"/>
          <w:u w:val="none"/>
          <w:lang w:eastAsia="zh-CN"/>
        </w:rPr>
        <w:t>、</w:t>
      </w:r>
      <w:r>
        <w:rPr>
          <w:rFonts w:hint="eastAsia" w:ascii="宋体" w:hAnsi="宋体"/>
          <w:sz w:val="24"/>
          <w:u w:val="none"/>
        </w:rPr>
        <w:t>陆菲菲</w:t>
      </w:r>
    </w:p>
    <w:p w14:paraId="68238B0A">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w:t>
      </w:r>
      <w:r>
        <w:rPr>
          <w:rFonts w:hint="eastAsia" w:ascii="宋体" w:hAnsi="宋体"/>
          <w:sz w:val="24"/>
          <w:u w:val="none"/>
        </w:rPr>
        <w:t>13365189107</w:t>
      </w:r>
      <w:r>
        <w:rPr>
          <w:rFonts w:hint="eastAsia" w:ascii="宋体" w:hAnsi="宋体"/>
          <w:sz w:val="24"/>
          <w:u w:val="none"/>
          <w:lang w:eastAsia="zh-CN"/>
        </w:rPr>
        <w:t>、</w:t>
      </w:r>
      <w:r>
        <w:rPr>
          <w:rFonts w:hint="eastAsia" w:ascii="宋体" w:hAnsi="宋体"/>
          <w:sz w:val="24"/>
          <w:u w:val="none"/>
        </w:rPr>
        <w:t>13815527069</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2236ECF4">
      <w:pPr>
        <w:rPr>
          <w:color w:val="auto"/>
          <w:sz w:val="24"/>
          <w:szCs w:val="24"/>
          <w:highlight w:val="none"/>
        </w:rPr>
      </w:pPr>
      <w:r>
        <w:rPr>
          <w:rFonts w:hint="eastAsia" w:ascii="仿宋" w:hAnsi="仿宋" w:eastAsia="仿宋" w:cs="仿宋"/>
          <w:b/>
          <w:color w:val="auto"/>
          <w:sz w:val="28"/>
          <w:szCs w:val="28"/>
          <w:highlight w:val="none"/>
          <w:shd w:val="clear" w:color="auto" w:fill="auto"/>
        </w:rPr>
        <w:br w:type="page"/>
      </w:r>
    </w:p>
    <w:p w14:paraId="1C0812BF">
      <w:pPr>
        <w:pStyle w:val="16"/>
        <w:keepNext/>
        <w:keepLines/>
        <w:spacing w:before="260" w:beforeAutospacing="0" w:after="260" w:afterAutospacing="0" w:line="415" w:lineRule="auto"/>
        <w:jc w:val="center"/>
        <w:rPr>
          <w:color w:val="auto"/>
          <w:sz w:val="24"/>
          <w:szCs w:val="24"/>
          <w:highlight w:val="none"/>
        </w:rPr>
      </w:pP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供应商须知</w:t>
      </w:r>
    </w:p>
    <w:p w14:paraId="52D44FEC">
      <w:pPr>
        <w:pStyle w:val="16"/>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33" w:name="_Toc20823275"/>
      <w:bookmarkStart w:id="34" w:name="_Toc513029203"/>
      <w:bookmarkStart w:id="35" w:name="_Toc120614214"/>
      <w:bookmarkStart w:id="36" w:name="_Toc16938519"/>
      <w:r>
        <w:rPr>
          <w:rFonts w:hint="eastAsia" w:ascii="宋体" w:hAnsi="宋体" w:eastAsia="宋体" w:cs="宋体"/>
          <w:b/>
          <w:color w:val="auto"/>
          <w:sz w:val="24"/>
          <w:szCs w:val="24"/>
          <w:highlight w:val="none"/>
        </w:rPr>
        <w:t>一、总则</w:t>
      </w:r>
      <w:bookmarkEnd w:id="33"/>
      <w:bookmarkEnd w:id="34"/>
      <w:bookmarkEnd w:id="35"/>
      <w:bookmarkEnd w:id="36"/>
    </w:p>
    <w:p w14:paraId="3AA919CD">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7" w:name="_Toc20823276"/>
      <w:bookmarkStart w:id="38" w:name="_Toc513029204"/>
      <w:bookmarkStart w:id="39" w:name="_Toc16938520"/>
      <w:bookmarkStart w:id="40" w:name="_Toc458694821"/>
      <w:bookmarkStart w:id="41" w:name="_Hlt16619475"/>
      <w:r>
        <w:rPr>
          <w:rFonts w:hint="eastAsia" w:ascii="宋体" w:hAnsi="宋体" w:eastAsia="宋体" w:cs="宋体"/>
          <w:i w:val="0"/>
          <w:iCs w:val="0"/>
          <w:caps w:val="0"/>
          <w:color w:val="auto"/>
          <w:spacing w:val="0"/>
          <w:sz w:val="24"/>
          <w:szCs w:val="24"/>
          <w:highlight w:val="none"/>
          <w:shd w:val="clear" w:color="auto" w:fill="auto"/>
          <w:lang w:val="en-US" w:eastAsia="zh-CN"/>
        </w:rPr>
        <w:t>1</w:t>
      </w:r>
      <w:bookmarkEnd w:id="37"/>
      <w:r>
        <w:rPr>
          <w:rFonts w:hint="eastAsia" w:ascii="宋体" w:hAnsi="宋体" w:eastAsia="宋体" w:cs="宋体"/>
          <w:i w:val="0"/>
          <w:iCs w:val="0"/>
          <w:caps w:val="0"/>
          <w:color w:val="auto"/>
          <w:spacing w:val="0"/>
          <w:sz w:val="24"/>
          <w:szCs w:val="24"/>
          <w:highlight w:val="none"/>
          <w:shd w:val="clear" w:color="auto" w:fill="auto"/>
          <w:lang w:val="en-US" w:eastAsia="zh-CN"/>
        </w:rPr>
        <w:t>、采购方式</w:t>
      </w:r>
      <w:bookmarkEnd w:id="38"/>
      <w:bookmarkEnd w:id="39"/>
      <w:bookmarkEnd w:id="40"/>
    </w:p>
    <w:p w14:paraId="4F29A25A">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1.1 本次政府采购活动采取竞争性磋商(以下简称磋商)方式，本磋商文件仅适用于磋商公告中所述项目。</w:t>
      </w:r>
    </w:p>
    <w:p w14:paraId="66C24DC5">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42" w:name="_Toc16938521"/>
      <w:bookmarkStart w:id="43" w:name="_Toc513029205"/>
      <w:bookmarkStart w:id="44" w:name="_Toc20823277"/>
      <w:r>
        <w:rPr>
          <w:rFonts w:hint="eastAsia" w:ascii="宋体" w:hAnsi="宋体" w:eastAsia="宋体" w:cs="宋体"/>
          <w:i w:val="0"/>
          <w:iCs w:val="0"/>
          <w:caps w:val="0"/>
          <w:color w:val="auto"/>
          <w:spacing w:val="0"/>
          <w:sz w:val="24"/>
          <w:szCs w:val="24"/>
          <w:highlight w:val="none"/>
          <w:shd w:val="clear" w:color="auto" w:fill="auto"/>
          <w:lang w:val="en-US" w:eastAsia="zh-CN"/>
        </w:rPr>
        <w:t>2、合格的</w:t>
      </w:r>
      <w:bookmarkEnd w:id="42"/>
      <w:bookmarkEnd w:id="43"/>
      <w:bookmarkEnd w:id="44"/>
      <w:r>
        <w:rPr>
          <w:rFonts w:hint="eastAsia" w:ascii="宋体" w:hAnsi="宋体" w:eastAsia="宋体" w:cs="宋体"/>
          <w:i w:val="0"/>
          <w:iCs w:val="0"/>
          <w:caps w:val="0"/>
          <w:color w:val="auto"/>
          <w:spacing w:val="0"/>
          <w:sz w:val="24"/>
          <w:szCs w:val="24"/>
          <w:highlight w:val="none"/>
          <w:shd w:val="clear" w:color="auto" w:fill="auto"/>
          <w:lang w:val="en-US" w:eastAsia="zh-CN"/>
        </w:rPr>
        <w:t>供应商</w:t>
      </w:r>
    </w:p>
    <w:p w14:paraId="1A196F40">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2.1满足磋商公告中供应商资格要求的规定。</w:t>
      </w:r>
    </w:p>
    <w:p w14:paraId="76E76C1D">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2.2 满足本磋商文件实质性要求和条件的规定。</w:t>
      </w:r>
    </w:p>
    <w:p w14:paraId="7AAEE600">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45" w:name="_Toc16938522"/>
      <w:bookmarkStart w:id="46" w:name="_Toc513029206"/>
      <w:bookmarkStart w:id="47" w:name="_Toc20823278"/>
      <w:r>
        <w:rPr>
          <w:rFonts w:hint="eastAsia" w:ascii="宋体" w:hAnsi="宋体" w:eastAsia="宋体" w:cs="宋体"/>
          <w:i w:val="0"/>
          <w:iCs w:val="0"/>
          <w:caps w:val="0"/>
          <w:color w:val="auto"/>
          <w:spacing w:val="0"/>
          <w:sz w:val="24"/>
          <w:szCs w:val="24"/>
          <w:highlight w:val="none"/>
          <w:shd w:val="clear" w:color="auto" w:fill="auto"/>
          <w:lang w:val="en-US" w:eastAsia="zh-CN"/>
        </w:rPr>
        <w:t>3、适用法律</w:t>
      </w:r>
      <w:bookmarkEnd w:id="45"/>
      <w:bookmarkEnd w:id="46"/>
      <w:bookmarkEnd w:id="47"/>
    </w:p>
    <w:p w14:paraId="367122AF">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3.1 本次磋商及由此产生的合同受中华人民共和国有关的法律法规制约和保护。</w:t>
      </w:r>
    </w:p>
    <w:p w14:paraId="3E61F9DA">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48" w:name="_Toc513029207"/>
      <w:bookmarkStart w:id="49" w:name="_Toc20823279"/>
      <w:bookmarkStart w:id="50" w:name="_Toc462564067"/>
      <w:bookmarkStart w:id="51" w:name="_Toc16938523"/>
      <w:r>
        <w:rPr>
          <w:rFonts w:hint="eastAsia" w:ascii="宋体" w:hAnsi="宋体" w:eastAsia="宋体" w:cs="宋体"/>
          <w:i w:val="0"/>
          <w:iCs w:val="0"/>
          <w:caps w:val="0"/>
          <w:color w:val="auto"/>
          <w:spacing w:val="0"/>
          <w:sz w:val="24"/>
          <w:szCs w:val="24"/>
          <w:highlight w:val="none"/>
          <w:shd w:val="clear" w:color="auto" w:fill="auto"/>
          <w:lang w:val="en-US" w:eastAsia="zh-CN"/>
        </w:rPr>
        <w:t>4、磋商费用</w:t>
      </w:r>
      <w:bookmarkEnd w:id="48"/>
      <w:bookmarkEnd w:id="49"/>
      <w:bookmarkEnd w:id="50"/>
      <w:bookmarkEnd w:id="51"/>
    </w:p>
    <w:p w14:paraId="53C618FE">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4.1供应商应自行承担所有与参加本次磋商有关的费用，无论磋商过程中的做法和结果如何，</w:t>
      </w:r>
      <w:r>
        <w:rPr>
          <w:rFonts w:hint="eastAsia" w:ascii="宋体" w:hAnsi="宋体" w:cs="宋体"/>
          <w:sz w:val="24"/>
        </w:rPr>
        <w:t>采购人及采购代理公司（以下简称“代理公司”）</w:t>
      </w:r>
      <w:r>
        <w:rPr>
          <w:rFonts w:hint="eastAsia" w:ascii="宋体" w:hAnsi="宋体" w:eastAsia="宋体" w:cs="宋体"/>
          <w:i w:val="0"/>
          <w:iCs w:val="0"/>
          <w:caps w:val="0"/>
          <w:color w:val="auto"/>
          <w:spacing w:val="0"/>
          <w:sz w:val="24"/>
          <w:szCs w:val="24"/>
          <w:highlight w:val="none"/>
          <w:shd w:val="clear" w:color="auto" w:fill="auto"/>
          <w:lang w:val="en-US" w:eastAsia="zh-CN"/>
        </w:rPr>
        <w:t>在任何情况下均无义务和责任承担这些费用。</w:t>
      </w:r>
    </w:p>
    <w:p w14:paraId="0227810F">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4.2本次磋商采购</w:t>
      </w:r>
      <w:r>
        <w:rPr>
          <w:rFonts w:hint="eastAsia" w:ascii="宋体" w:hAnsi="宋体" w:cs="宋体"/>
          <w:sz w:val="24"/>
        </w:rPr>
        <w:t>代理公司</w:t>
      </w:r>
      <w:r>
        <w:rPr>
          <w:rFonts w:hint="eastAsia" w:ascii="宋体" w:hAnsi="宋体" w:eastAsia="宋体" w:cs="宋体"/>
          <w:i w:val="0"/>
          <w:iCs w:val="0"/>
          <w:caps w:val="0"/>
          <w:color w:val="auto"/>
          <w:spacing w:val="0"/>
          <w:sz w:val="24"/>
          <w:szCs w:val="24"/>
          <w:highlight w:val="none"/>
          <w:shd w:val="clear" w:color="auto" w:fill="auto"/>
          <w:lang w:val="en-US" w:eastAsia="zh-CN"/>
        </w:rPr>
        <w:t>和采购人不收取标书工本费与成交服务费。</w:t>
      </w:r>
    </w:p>
    <w:p w14:paraId="46376221">
      <w:pPr>
        <w:spacing w:line="460" w:lineRule="exact"/>
        <w:ind w:firstLine="480"/>
        <w:rPr>
          <w:rFonts w:ascii="宋体" w:hAnsi="宋体" w:cs="宋体"/>
          <w:sz w:val="24"/>
        </w:rPr>
      </w:pPr>
      <w:r>
        <w:rPr>
          <w:rFonts w:hint="eastAsia" w:ascii="宋体" w:hAnsi="宋体" w:eastAsia="宋体" w:cs="宋体"/>
          <w:i w:val="0"/>
          <w:iCs w:val="0"/>
          <w:caps w:val="0"/>
          <w:color w:val="auto"/>
          <w:spacing w:val="0"/>
          <w:sz w:val="24"/>
          <w:szCs w:val="24"/>
          <w:highlight w:val="none"/>
          <w:shd w:val="clear" w:color="auto" w:fill="auto"/>
          <w:lang w:val="en-US" w:eastAsia="zh-CN"/>
        </w:rPr>
        <w:t>4.3</w:t>
      </w:r>
      <w:r>
        <w:rPr>
          <w:rFonts w:hint="eastAsia" w:ascii="宋体" w:hAnsi="宋体" w:cs="宋体"/>
          <w:sz w:val="24"/>
        </w:rPr>
        <w:t>其他费用处理</w:t>
      </w:r>
    </w:p>
    <w:p w14:paraId="55BC6647">
      <w:pPr>
        <w:spacing w:line="460" w:lineRule="exact"/>
        <w:ind w:firstLine="480"/>
        <w:rPr>
          <w:rFonts w:ascii="宋体" w:hAnsi="宋体" w:cs="宋体"/>
          <w:sz w:val="24"/>
        </w:rPr>
      </w:pPr>
      <w:r>
        <w:rPr>
          <w:rFonts w:hint="eastAsia" w:ascii="宋体" w:hAnsi="宋体" w:cs="宋体"/>
          <w:sz w:val="24"/>
        </w:rPr>
        <w:t>本次采购磋商供应商的总报价应包括磋商供应商为完成竞争性磋商文件所确定的招标范围内的全部服务工作内容所发生的一切费用。</w:t>
      </w:r>
    </w:p>
    <w:p w14:paraId="37AC86EA">
      <w:pPr>
        <w:spacing w:line="460" w:lineRule="exact"/>
        <w:ind w:firstLine="480"/>
        <w:rPr>
          <w:rFonts w:ascii="宋体" w:hAnsi="宋体" w:cs="宋体"/>
          <w:sz w:val="24"/>
        </w:rPr>
      </w:pPr>
      <w:r>
        <w:rPr>
          <w:rFonts w:hint="eastAsia" w:ascii="宋体" w:hAnsi="宋体" w:cs="宋体"/>
          <w:sz w:val="24"/>
        </w:rPr>
        <w:t>磋商文件未列明，而磋商供应商认为必需的费用也需列入报价。</w:t>
      </w:r>
    </w:p>
    <w:p w14:paraId="7C13F75E">
      <w:pPr>
        <w:spacing w:line="460" w:lineRule="exact"/>
        <w:ind w:firstLine="480"/>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cs="宋体"/>
          <w:sz w:val="24"/>
        </w:rPr>
        <w:t>本项目采购代理服务费每个包按照苏招协【2022】002号文件规定标准的80%计取，由中标（成交）供应商在领取中标（成交）通知书前一次性支付。</w:t>
      </w:r>
      <w:r>
        <w:rPr>
          <w:rFonts w:hint="eastAsia" w:ascii="宋体" w:hAnsi="宋体" w:cs="宋体"/>
          <w:b/>
          <w:bCs/>
          <w:sz w:val="24"/>
        </w:rPr>
        <w:t>（本条不单独列表报价，自行综合考虑在投标报价中，中标后采购人不再另行支付）。</w:t>
      </w:r>
    </w:p>
    <w:p w14:paraId="43C27EB4">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5、磋商文件的约束力</w:t>
      </w:r>
    </w:p>
    <w:p w14:paraId="6701A711">
      <w:pPr>
        <w:spacing w:line="500" w:lineRule="exact"/>
        <w:ind w:firstLine="48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5.1供应商一旦参加本项目采购活动，即被认为接受了本磋商文件的规定和约束。</w:t>
      </w:r>
    </w:p>
    <w:p w14:paraId="7671F4DA">
      <w:pPr>
        <w:pStyle w:val="16"/>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52" w:name="_Toc20823281"/>
      <w:bookmarkStart w:id="53" w:name="_Toc16938525"/>
      <w:bookmarkStart w:id="54" w:name="_Toc513029209"/>
      <w:bookmarkStart w:id="55" w:name="_Toc120614215"/>
      <w:r>
        <w:rPr>
          <w:rFonts w:hint="eastAsia" w:ascii="宋体" w:hAnsi="宋体" w:eastAsia="宋体" w:cs="宋体"/>
          <w:b/>
          <w:color w:val="auto"/>
          <w:sz w:val="24"/>
          <w:szCs w:val="24"/>
          <w:highlight w:val="none"/>
        </w:rPr>
        <w:t>二、</w:t>
      </w:r>
      <w:bookmarkEnd w:id="52"/>
      <w:bookmarkEnd w:id="53"/>
      <w:bookmarkEnd w:id="54"/>
      <w:bookmarkEnd w:id="55"/>
      <w:r>
        <w:rPr>
          <w:rFonts w:hint="eastAsia" w:ascii="宋体" w:hAnsi="宋体" w:eastAsia="宋体" w:cs="宋体"/>
          <w:b/>
          <w:color w:val="auto"/>
          <w:sz w:val="24"/>
          <w:szCs w:val="24"/>
          <w:highlight w:val="none"/>
        </w:rPr>
        <w:t>磋商文件</w:t>
      </w:r>
    </w:p>
    <w:p w14:paraId="25AEF5F0">
      <w:pPr>
        <w:spacing w:line="500" w:lineRule="exact"/>
        <w:ind w:firstLine="480"/>
        <w:rPr>
          <w:rFonts w:hint="eastAsia" w:ascii="宋体" w:hAnsi="宋体" w:cs="宋体"/>
          <w:sz w:val="24"/>
        </w:rPr>
      </w:pPr>
      <w:bookmarkStart w:id="56" w:name="_Toc16938526"/>
      <w:bookmarkStart w:id="57" w:name="_Toc513029210"/>
      <w:bookmarkStart w:id="58" w:name="_Toc20823282"/>
      <w:r>
        <w:rPr>
          <w:rFonts w:hint="eastAsia" w:ascii="宋体" w:hAnsi="宋体" w:cs="宋体"/>
          <w:sz w:val="24"/>
        </w:rPr>
        <w:t>6、磋商文件构成</w:t>
      </w:r>
      <w:bookmarkEnd w:id="56"/>
      <w:bookmarkEnd w:id="57"/>
      <w:bookmarkEnd w:id="58"/>
    </w:p>
    <w:p w14:paraId="41D85CF5">
      <w:pPr>
        <w:spacing w:line="500" w:lineRule="exact"/>
        <w:ind w:firstLine="480"/>
        <w:rPr>
          <w:rFonts w:hint="eastAsia" w:ascii="宋体" w:hAnsi="宋体" w:cs="宋体"/>
          <w:sz w:val="24"/>
        </w:rPr>
      </w:pPr>
      <w:r>
        <w:rPr>
          <w:rFonts w:hint="eastAsia" w:ascii="宋体" w:hAnsi="宋体" w:cs="宋体"/>
          <w:sz w:val="24"/>
        </w:rPr>
        <w:t>6.1磋商文件由以下部分组成：</w:t>
      </w:r>
    </w:p>
    <w:p w14:paraId="0A59C4C1">
      <w:pPr>
        <w:spacing w:line="500" w:lineRule="exact"/>
        <w:ind w:firstLine="480"/>
        <w:rPr>
          <w:rFonts w:hint="eastAsia" w:ascii="宋体" w:hAnsi="宋体" w:cs="宋体"/>
          <w:sz w:val="24"/>
          <w:lang w:eastAsia="zh-CN"/>
        </w:rPr>
      </w:pPr>
      <w:r>
        <w:rPr>
          <w:rFonts w:hint="eastAsia" w:ascii="宋体" w:hAnsi="宋体" w:cs="宋体"/>
          <w:sz w:val="24"/>
        </w:rPr>
        <w:t>（1）磋商</w:t>
      </w:r>
      <w:r>
        <w:rPr>
          <w:rFonts w:hint="eastAsia" w:ascii="宋体" w:hAnsi="宋体" w:cs="宋体"/>
          <w:sz w:val="24"/>
          <w:lang w:val="en-US" w:eastAsia="zh-CN"/>
        </w:rPr>
        <w:t>公告</w:t>
      </w:r>
    </w:p>
    <w:p w14:paraId="758E6AFB">
      <w:pPr>
        <w:spacing w:line="500" w:lineRule="exact"/>
        <w:ind w:firstLine="480"/>
        <w:rPr>
          <w:rFonts w:hint="eastAsia" w:ascii="宋体" w:hAnsi="宋体" w:cs="宋体"/>
          <w:sz w:val="24"/>
        </w:rPr>
      </w:pPr>
      <w:r>
        <w:rPr>
          <w:rFonts w:hint="eastAsia" w:ascii="宋体" w:hAnsi="宋体" w:cs="宋体"/>
          <w:sz w:val="24"/>
        </w:rPr>
        <w:t>（2）供应商须知</w:t>
      </w:r>
    </w:p>
    <w:p w14:paraId="3AAD8EF0">
      <w:pPr>
        <w:spacing w:line="500" w:lineRule="exact"/>
        <w:ind w:firstLine="480"/>
        <w:rPr>
          <w:rFonts w:hint="eastAsia" w:ascii="宋体" w:hAnsi="宋体" w:cs="宋体"/>
          <w:sz w:val="24"/>
        </w:rPr>
      </w:pPr>
      <w:r>
        <w:rPr>
          <w:rFonts w:hint="eastAsia" w:ascii="宋体" w:hAnsi="宋体" w:cs="宋体"/>
          <w:sz w:val="24"/>
        </w:rPr>
        <w:t>（3）合同文本</w:t>
      </w:r>
    </w:p>
    <w:p w14:paraId="63A2663C">
      <w:pPr>
        <w:spacing w:line="500" w:lineRule="exact"/>
        <w:ind w:firstLine="480"/>
        <w:rPr>
          <w:rFonts w:hint="eastAsia" w:ascii="宋体" w:hAnsi="宋体" w:cs="宋体"/>
          <w:sz w:val="24"/>
        </w:rPr>
      </w:pPr>
      <w:r>
        <w:rPr>
          <w:rFonts w:hint="eastAsia" w:ascii="宋体" w:hAnsi="宋体" w:cs="宋体"/>
          <w:sz w:val="24"/>
        </w:rPr>
        <w:t>（4）采购需求</w:t>
      </w:r>
    </w:p>
    <w:p w14:paraId="3FF9ACB5">
      <w:pPr>
        <w:spacing w:line="500" w:lineRule="exact"/>
        <w:ind w:firstLine="480"/>
        <w:rPr>
          <w:rFonts w:hint="eastAsia" w:ascii="宋体" w:hAnsi="宋体" w:cs="宋体"/>
          <w:sz w:val="24"/>
        </w:rPr>
      </w:pPr>
      <w:r>
        <w:rPr>
          <w:rFonts w:hint="eastAsia" w:ascii="宋体" w:hAnsi="宋体" w:cs="宋体"/>
          <w:sz w:val="24"/>
        </w:rPr>
        <w:t>（5）评审方法与评审标准</w:t>
      </w:r>
    </w:p>
    <w:p w14:paraId="58DF4289">
      <w:pPr>
        <w:spacing w:line="500" w:lineRule="exact"/>
        <w:ind w:firstLine="480"/>
        <w:rPr>
          <w:rFonts w:hint="eastAsia" w:ascii="宋体" w:hAnsi="宋体" w:cs="宋体"/>
          <w:sz w:val="24"/>
        </w:rPr>
      </w:pPr>
      <w:r>
        <w:rPr>
          <w:rFonts w:hint="eastAsia" w:ascii="宋体" w:hAnsi="宋体" w:cs="宋体"/>
          <w:sz w:val="24"/>
        </w:rPr>
        <w:t>（6）响应文件格式</w:t>
      </w:r>
    </w:p>
    <w:p w14:paraId="43B6C25F">
      <w:pPr>
        <w:spacing w:line="500" w:lineRule="exact"/>
        <w:ind w:firstLine="480"/>
        <w:rPr>
          <w:rFonts w:hint="eastAsia" w:ascii="宋体" w:hAnsi="宋体" w:cs="宋体"/>
          <w:sz w:val="24"/>
        </w:rPr>
      </w:pPr>
      <w:r>
        <w:rPr>
          <w:rFonts w:hint="eastAsia" w:ascii="宋体" w:hAnsi="宋体" w:cs="宋体"/>
          <w:sz w:val="24"/>
        </w:rPr>
        <w:t>请仔细检查磋商文件是否齐全，如有缺漏请立即与采购</w:t>
      </w:r>
      <w:r>
        <w:rPr>
          <w:rFonts w:hint="eastAsia" w:ascii="宋体" w:hAnsi="宋体" w:cs="宋体"/>
          <w:sz w:val="24"/>
          <w:lang w:val="en-US" w:eastAsia="zh-CN"/>
        </w:rPr>
        <w:t>人、采购代理机构</w:t>
      </w:r>
      <w:r>
        <w:rPr>
          <w:rFonts w:hint="eastAsia" w:ascii="宋体" w:hAnsi="宋体" w:cs="宋体"/>
          <w:sz w:val="24"/>
        </w:rPr>
        <w:t>联系解决。</w:t>
      </w:r>
    </w:p>
    <w:p w14:paraId="2BAC0C07">
      <w:pPr>
        <w:spacing w:line="500" w:lineRule="exact"/>
        <w:ind w:firstLine="480"/>
        <w:rPr>
          <w:rFonts w:hint="eastAsia" w:ascii="宋体" w:hAnsi="宋体" w:cs="宋体"/>
          <w:sz w:val="24"/>
        </w:rPr>
      </w:pPr>
      <w:r>
        <w:rPr>
          <w:rFonts w:hint="eastAsia" w:ascii="宋体" w:hAnsi="宋体" w:cs="宋体"/>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spacing w:line="500" w:lineRule="exact"/>
        <w:ind w:firstLine="480"/>
        <w:rPr>
          <w:rFonts w:hint="eastAsia" w:ascii="宋体" w:hAnsi="宋体" w:cs="宋体"/>
          <w:sz w:val="24"/>
        </w:rPr>
      </w:pPr>
      <w:bookmarkStart w:id="59" w:name="_Toc16938527"/>
      <w:bookmarkStart w:id="60" w:name="_Toc462564070"/>
      <w:bookmarkStart w:id="61" w:name="_Toc20823283"/>
      <w:bookmarkStart w:id="62" w:name="_Toc513029211"/>
      <w:r>
        <w:rPr>
          <w:rFonts w:hint="eastAsia" w:ascii="宋体" w:hAnsi="宋体" w:cs="宋体"/>
          <w:sz w:val="24"/>
        </w:rPr>
        <w:t>7、磋商文件的澄清</w:t>
      </w:r>
      <w:bookmarkEnd w:id="59"/>
      <w:bookmarkEnd w:id="60"/>
      <w:bookmarkEnd w:id="61"/>
      <w:bookmarkEnd w:id="62"/>
    </w:p>
    <w:p w14:paraId="25FA5E88">
      <w:pPr>
        <w:spacing w:line="500" w:lineRule="exact"/>
        <w:ind w:firstLine="480"/>
        <w:rPr>
          <w:rFonts w:hint="eastAsia" w:ascii="宋体" w:hAnsi="宋体" w:cs="宋体"/>
          <w:sz w:val="24"/>
        </w:rPr>
      </w:pPr>
      <w:r>
        <w:rPr>
          <w:rFonts w:hint="eastAsia" w:ascii="宋体" w:hAnsi="宋体" w:cs="宋体"/>
          <w:sz w:val="24"/>
        </w:rPr>
        <w:t>7.1 任何要求对磋商文件进行澄清的供应商，应在磋商截止期5日前按磋商公告中的通讯地址，以书面形式通知</w:t>
      </w:r>
      <w:r>
        <w:rPr>
          <w:rFonts w:hint="eastAsia" w:ascii="宋体" w:hAnsi="宋体" w:cs="宋体"/>
          <w:sz w:val="24"/>
          <w:lang w:val="en-US" w:eastAsia="zh-CN"/>
        </w:rPr>
        <w:t>采购人、采购</w:t>
      </w:r>
      <w:r>
        <w:rPr>
          <w:rFonts w:hint="eastAsia" w:ascii="宋体" w:hAnsi="宋体" w:cs="宋体"/>
          <w:sz w:val="24"/>
        </w:rPr>
        <w:t>代理公司。</w:t>
      </w:r>
    </w:p>
    <w:p w14:paraId="318D53BA">
      <w:pPr>
        <w:spacing w:line="500" w:lineRule="exact"/>
        <w:ind w:firstLine="480"/>
        <w:rPr>
          <w:rFonts w:hint="eastAsia" w:ascii="宋体" w:hAnsi="宋体" w:cs="宋体"/>
          <w:sz w:val="24"/>
        </w:rPr>
      </w:pPr>
      <w:bookmarkStart w:id="63" w:name="_Toc513029212"/>
      <w:bookmarkStart w:id="64" w:name="_Toc20823284"/>
      <w:bookmarkStart w:id="65" w:name="_Toc16938528"/>
      <w:bookmarkStart w:id="66" w:name="_Toc462564071"/>
      <w:r>
        <w:rPr>
          <w:rFonts w:hint="eastAsia" w:ascii="宋体" w:hAnsi="宋体" w:cs="宋体"/>
          <w:sz w:val="24"/>
        </w:rPr>
        <w:t>8、磋商文件的澄清和修改</w:t>
      </w:r>
      <w:bookmarkEnd w:id="63"/>
      <w:bookmarkEnd w:id="64"/>
      <w:bookmarkEnd w:id="65"/>
      <w:bookmarkEnd w:id="66"/>
    </w:p>
    <w:p w14:paraId="42837AE6">
      <w:pPr>
        <w:spacing w:line="500" w:lineRule="exact"/>
        <w:ind w:firstLine="480"/>
        <w:rPr>
          <w:rFonts w:hint="eastAsia" w:ascii="宋体" w:hAnsi="宋体" w:cs="宋体"/>
          <w:sz w:val="24"/>
        </w:rPr>
      </w:pPr>
      <w:r>
        <w:rPr>
          <w:rFonts w:hint="eastAsia" w:ascii="宋体" w:hAnsi="宋体" w:cs="宋体"/>
          <w:sz w:val="24"/>
        </w:rPr>
        <w:t>8.1 在响应文件提交截止时间前，</w:t>
      </w:r>
      <w:r>
        <w:rPr>
          <w:rFonts w:hint="eastAsia" w:ascii="宋体" w:hAnsi="宋体" w:cs="宋体"/>
          <w:sz w:val="24"/>
          <w:lang w:val="en-US" w:eastAsia="zh-CN"/>
        </w:rPr>
        <w:t>采购人</w:t>
      </w:r>
      <w:r>
        <w:rPr>
          <w:rFonts w:hint="eastAsia" w:ascii="宋体" w:hAnsi="宋体" w:cs="宋体"/>
          <w:sz w:val="24"/>
        </w:rPr>
        <w:t>可以对磋商文件进行澄清和修改, 澄清或者修改的内容作为磋商文件的组成部分。澄清或者修改的内容可能影响响应文件编制的，</w:t>
      </w:r>
      <w:r>
        <w:rPr>
          <w:rFonts w:hint="eastAsia" w:ascii="宋体" w:hAnsi="宋体" w:cs="宋体"/>
          <w:sz w:val="24"/>
          <w:lang w:val="en-US" w:eastAsia="zh-CN"/>
        </w:rPr>
        <w:t>采购人</w:t>
      </w:r>
      <w:r>
        <w:rPr>
          <w:rFonts w:hint="eastAsia" w:ascii="宋体" w:hAnsi="宋体" w:cs="宋体"/>
          <w:sz w:val="24"/>
        </w:rPr>
        <w:t>将在提交首次响应文件截止时间至少5日前，在“</w:t>
      </w:r>
      <w:r>
        <w:rPr>
          <w:rFonts w:hint="eastAsia" w:ascii="宋体" w:hAnsi="宋体" w:cs="宋体"/>
          <w:sz w:val="24"/>
          <w:lang w:val="en-US" w:eastAsia="zh-CN"/>
        </w:rPr>
        <w:t>中国政府采购网”“</w:t>
      </w:r>
      <w:r>
        <w:rPr>
          <w:rFonts w:hint="eastAsia" w:ascii="宋体" w:hAnsi="宋体" w:cs="宋体"/>
          <w:sz w:val="24"/>
        </w:rPr>
        <w:t>江苏政府采购网</w:t>
      </w:r>
      <w:r>
        <w:rPr>
          <w:rFonts w:hint="eastAsia" w:ascii="宋体" w:hAnsi="宋体" w:cs="宋体"/>
          <w:sz w:val="24"/>
          <w:lang w:eastAsia="zh-CN"/>
        </w:rPr>
        <w:t>”“</w:t>
      </w:r>
      <w:r>
        <w:rPr>
          <w:rFonts w:hint="eastAsia" w:ascii="宋体" w:hAnsi="宋体" w:cs="宋体"/>
          <w:sz w:val="24"/>
        </w:rPr>
        <w:t>盐城市政府采购网”上发布书面更正公告形式通知所有获取磋商文件的供应商,更正公告内容将作为磋商文件的组成部分，并对供应商具有约束力。不足5日的，</w:t>
      </w:r>
      <w:r>
        <w:rPr>
          <w:rFonts w:hint="eastAsia" w:ascii="宋体" w:hAnsi="宋体" w:cs="宋体"/>
          <w:sz w:val="24"/>
          <w:lang w:val="en-US" w:eastAsia="zh-CN"/>
        </w:rPr>
        <w:t>采购人</w:t>
      </w:r>
      <w:r>
        <w:rPr>
          <w:rFonts w:hint="eastAsia" w:ascii="宋体" w:hAnsi="宋体" w:cs="宋体"/>
          <w:sz w:val="24"/>
        </w:rPr>
        <w:t>将顺延提交首次响应文件截止时间。</w:t>
      </w:r>
    </w:p>
    <w:p w14:paraId="459D8213">
      <w:pPr>
        <w:spacing w:line="500" w:lineRule="exact"/>
        <w:ind w:firstLine="480"/>
        <w:rPr>
          <w:rFonts w:hint="eastAsia" w:ascii="宋体" w:hAnsi="宋体" w:cs="宋体"/>
          <w:sz w:val="24"/>
        </w:rPr>
      </w:pPr>
      <w:r>
        <w:rPr>
          <w:rFonts w:hint="eastAsia" w:ascii="宋体" w:hAnsi="宋体" w:cs="宋体"/>
          <w:sz w:val="24"/>
        </w:rPr>
        <w:t>8.2</w:t>
      </w:r>
      <w:r>
        <w:rPr>
          <w:rFonts w:hint="eastAsia" w:ascii="宋体" w:hAnsi="宋体" w:cs="宋体"/>
          <w:sz w:val="24"/>
          <w:lang w:val="en-US" w:eastAsia="zh-CN"/>
        </w:rPr>
        <w:t>采购人</w:t>
      </w:r>
      <w:r>
        <w:rPr>
          <w:rFonts w:hint="eastAsia" w:ascii="宋体" w:hAnsi="宋体" w:cs="宋体"/>
          <w:sz w:val="24"/>
        </w:rPr>
        <w:t>可以视采购项目的具体情况，组织供应商进行现场考察或召开磋商前答疑会，但不单独或分别组织只有一个供应商参加的现场考察和答疑会。</w:t>
      </w:r>
    </w:p>
    <w:p w14:paraId="64D59BE3">
      <w:pPr>
        <w:spacing w:line="500" w:lineRule="exact"/>
        <w:ind w:firstLine="480"/>
        <w:rPr>
          <w:rFonts w:hint="eastAsia" w:ascii="宋体" w:hAnsi="宋体" w:cs="宋体"/>
          <w:sz w:val="24"/>
        </w:rPr>
      </w:pPr>
      <w:bookmarkStart w:id="67" w:name="_Toc120614216"/>
      <w:bookmarkStart w:id="68" w:name="_Toc462564072"/>
      <w:bookmarkStart w:id="69" w:name="_Toc16938529"/>
      <w:bookmarkStart w:id="70" w:name="_Toc513029213"/>
      <w:bookmarkStart w:id="71" w:name="_Toc20823285"/>
      <w:r>
        <w:rPr>
          <w:rFonts w:hint="eastAsia" w:ascii="宋体" w:hAnsi="宋体" w:cs="宋体"/>
          <w:sz w:val="24"/>
        </w:rPr>
        <w:t>三、响应文件的编制</w:t>
      </w:r>
      <w:bookmarkEnd w:id="67"/>
      <w:bookmarkEnd w:id="68"/>
      <w:bookmarkEnd w:id="69"/>
      <w:bookmarkEnd w:id="70"/>
      <w:bookmarkEnd w:id="71"/>
    </w:p>
    <w:p w14:paraId="02D221D0">
      <w:pPr>
        <w:spacing w:line="500" w:lineRule="exact"/>
        <w:ind w:firstLine="480"/>
        <w:rPr>
          <w:rFonts w:hint="eastAsia" w:ascii="宋体" w:hAnsi="宋体" w:cs="宋体"/>
          <w:sz w:val="24"/>
        </w:rPr>
      </w:pPr>
      <w:bookmarkStart w:id="72" w:name="_Toc513029214"/>
      <w:bookmarkStart w:id="73" w:name="_Toc20823286"/>
      <w:bookmarkStart w:id="74" w:name="_Toc462564073"/>
      <w:bookmarkStart w:id="75" w:name="_Toc16938530"/>
      <w:r>
        <w:rPr>
          <w:rFonts w:hint="eastAsia" w:ascii="宋体" w:hAnsi="宋体" w:cs="宋体"/>
          <w:sz w:val="24"/>
        </w:rPr>
        <w:t>9、响应文件的语言及度量衡单位</w:t>
      </w:r>
      <w:bookmarkEnd w:id="72"/>
      <w:bookmarkEnd w:id="73"/>
      <w:bookmarkEnd w:id="74"/>
      <w:bookmarkEnd w:id="75"/>
    </w:p>
    <w:p w14:paraId="7EBE4620">
      <w:pPr>
        <w:spacing w:line="500" w:lineRule="exact"/>
        <w:ind w:firstLine="480"/>
        <w:rPr>
          <w:rFonts w:hint="eastAsia" w:ascii="宋体" w:hAnsi="宋体" w:cs="宋体"/>
          <w:sz w:val="24"/>
        </w:rPr>
      </w:pPr>
      <w:r>
        <w:rPr>
          <w:rFonts w:hint="eastAsia" w:ascii="宋体" w:hAnsi="宋体" w:cs="宋体"/>
          <w:sz w:val="24"/>
        </w:rPr>
        <w:t>9.1供应商提交的响应文件以及供应商与采购</w:t>
      </w:r>
      <w:r>
        <w:rPr>
          <w:rFonts w:hint="eastAsia" w:ascii="宋体" w:hAnsi="宋体" w:cs="宋体"/>
          <w:sz w:val="24"/>
          <w:lang w:val="en-US" w:eastAsia="zh-CN"/>
        </w:rPr>
        <w:t>人</w:t>
      </w:r>
      <w:r>
        <w:rPr>
          <w:rFonts w:hint="eastAsia" w:ascii="宋体" w:hAnsi="宋体" w:cs="宋体"/>
          <w:sz w:val="24"/>
        </w:rPr>
        <w:t>就有关磋商的所有来往通知、函件和文件均应使用</w:t>
      </w:r>
      <w:r>
        <w:rPr>
          <w:rFonts w:hint="eastAsia" w:ascii="宋体" w:hAnsi="宋体" w:cs="宋体"/>
          <w:b/>
          <w:bCs/>
          <w:sz w:val="24"/>
        </w:rPr>
        <w:t>简体中文</w:t>
      </w:r>
      <w:r>
        <w:rPr>
          <w:rFonts w:hint="eastAsia" w:ascii="宋体" w:hAnsi="宋体" w:cs="宋体"/>
          <w:sz w:val="24"/>
        </w:rPr>
        <w:t>。</w:t>
      </w:r>
    </w:p>
    <w:p w14:paraId="7C6A95F4">
      <w:pPr>
        <w:spacing w:line="500" w:lineRule="exact"/>
        <w:ind w:firstLine="480"/>
        <w:rPr>
          <w:rFonts w:hint="eastAsia" w:ascii="宋体" w:hAnsi="宋体" w:cs="宋体"/>
          <w:sz w:val="24"/>
        </w:rPr>
      </w:pPr>
      <w:r>
        <w:rPr>
          <w:rFonts w:hint="eastAsia" w:ascii="宋体" w:hAnsi="宋体" w:cs="宋体"/>
          <w:sz w:val="24"/>
        </w:rPr>
        <w:t>9.2 除技术性能另有规定外，响应文件所使用的度量衡单位，均须采用国家法定计量单位。</w:t>
      </w:r>
    </w:p>
    <w:p w14:paraId="07798DA0">
      <w:pPr>
        <w:spacing w:line="500" w:lineRule="exact"/>
        <w:ind w:firstLine="480"/>
        <w:rPr>
          <w:rFonts w:hint="eastAsia" w:ascii="宋体" w:hAnsi="宋体" w:cs="宋体"/>
          <w:sz w:val="24"/>
        </w:rPr>
      </w:pPr>
      <w:bookmarkStart w:id="76" w:name="_Toc16938531"/>
      <w:bookmarkStart w:id="77" w:name="_Toc20823287"/>
      <w:bookmarkStart w:id="78" w:name="_Toc513029215"/>
      <w:bookmarkStart w:id="79" w:name="_Toc462564074"/>
      <w:r>
        <w:rPr>
          <w:rFonts w:hint="eastAsia" w:ascii="宋体" w:hAnsi="宋体" w:cs="宋体"/>
          <w:sz w:val="24"/>
        </w:rPr>
        <w:t>10、响应文件构成</w:t>
      </w:r>
      <w:bookmarkEnd w:id="76"/>
      <w:bookmarkEnd w:id="77"/>
      <w:bookmarkEnd w:id="78"/>
      <w:bookmarkEnd w:id="79"/>
    </w:p>
    <w:p w14:paraId="448AC452">
      <w:pPr>
        <w:spacing w:line="500" w:lineRule="exact"/>
        <w:ind w:firstLine="480"/>
        <w:rPr>
          <w:rFonts w:hint="eastAsia" w:ascii="宋体" w:hAnsi="宋体" w:cs="宋体"/>
          <w:sz w:val="24"/>
        </w:rPr>
      </w:pPr>
      <w:r>
        <w:rPr>
          <w:rFonts w:hint="eastAsia" w:ascii="宋体" w:hAnsi="宋体" w:cs="宋体"/>
          <w:sz w:val="24"/>
        </w:rPr>
        <w:t>10.1供应商编写的响应文件应包括资格证明文件、符合性证明文件、分项报价表、技术要求响应及偏离表、商务要求响应及偏离表、其他证明文件、磋商响应函等部分。</w:t>
      </w:r>
    </w:p>
    <w:p w14:paraId="09D67DEF">
      <w:pPr>
        <w:spacing w:line="500" w:lineRule="exact"/>
        <w:ind w:firstLine="480"/>
        <w:rPr>
          <w:rFonts w:hint="eastAsia" w:ascii="宋体" w:hAnsi="宋体" w:cs="宋体"/>
          <w:sz w:val="24"/>
        </w:rPr>
      </w:pPr>
      <w:r>
        <w:rPr>
          <w:rFonts w:hint="eastAsia" w:ascii="宋体" w:hAnsi="宋体" w:cs="宋体"/>
          <w:sz w:val="24"/>
        </w:rPr>
        <w:t>10.2 如标书制作工具中格式和内容与“</w:t>
      </w:r>
      <w:r>
        <w:rPr>
          <w:rFonts w:hint="eastAsia" w:ascii="宋体" w:hAnsi="宋体" w:cs="宋体"/>
          <w:sz w:val="24"/>
          <w:lang w:val="en-US" w:eastAsia="zh-CN"/>
        </w:rPr>
        <w:t>中国政府采购网</w:t>
      </w:r>
      <w:r>
        <w:rPr>
          <w:rFonts w:hint="eastAsia" w:ascii="宋体" w:hAnsi="宋体" w:cs="宋体"/>
          <w:sz w:val="24"/>
        </w:rPr>
        <w:t>”</w:t>
      </w:r>
      <w:r>
        <w:rPr>
          <w:rFonts w:hint="eastAsia" w:ascii="宋体" w:hAnsi="宋体" w:cs="宋体"/>
          <w:sz w:val="24"/>
          <w:lang w:eastAsia="zh-CN"/>
        </w:rPr>
        <w:t>、</w:t>
      </w:r>
      <w:r>
        <w:rPr>
          <w:rFonts w:hint="eastAsia" w:ascii="宋体" w:hAnsi="宋体" w:cs="宋体"/>
          <w:sz w:val="24"/>
        </w:rPr>
        <w:t>“江苏政府采购网</w:t>
      </w:r>
      <w:r>
        <w:rPr>
          <w:rFonts w:hint="eastAsia" w:ascii="宋体" w:hAnsi="宋体" w:cs="宋体"/>
          <w:sz w:val="24"/>
          <w:lang w:eastAsia="zh-CN"/>
        </w:rPr>
        <w:t>”“</w:t>
      </w:r>
      <w:r>
        <w:rPr>
          <w:rFonts w:hint="eastAsia" w:ascii="宋体" w:hAnsi="宋体" w:cs="宋体"/>
          <w:sz w:val="24"/>
        </w:rPr>
        <w:t>盐城市政府采购网”发布的磋商文件不一致，请以“</w:t>
      </w:r>
      <w:r>
        <w:rPr>
          <w:rFonts w:hint="eastAsia" w:ascii="宋体" w:hAnsi="宋体" w:cs="宋体"/>
          <w:sz w:val="24"/>
          <w:lang w:val="en-US" w:eastAsia="zh-CN"/>
        </w:rPr>
        <w:t>中国政府采购网”“</w:t>
      </w:r>
      <w:r>
        <w:rPr>
          <w:rFonts w:hint="eastAsia" w:ascii="宋体" w:hAnsi="宋体" w:cs="宋体"/>
          <w:sz w:val="24"/>
        </w:rPr>
        <w:t>江苏政府采购网</w:t>
      </w:r>
      <w:r>
        <w:rPr>
          <w:rFonts w:hint="eastAsia" w:ascii="宋体" w:hAnsi="宋体" w:cs="宋体"/>
          <w:sz w:val="24"/>
          <w:lang w:eastAsia="zh-CN"/>
        </w:rPr>
        <w:t>”“</w:t>
      </w:r>
      <w:r>
        <w:rPr>
          <w:rFonts w:hint="eastAsia" w:ascii="宋体" w:hAnsi="宋体" w:cs="宋体"/>
          <w:sz w:val="24"/>
        </w:rPr>
        <w:t>盐城市政府采购网”发布的磋商文件为准。</w:t>
      </w:r>
    </w:p>
    <w:p w14:paraId="523CDFE3">
      <w:pPr>
        <w:spacing w:line="500" w:lineRule="exact"/>
        <w:ind w:firstLine="480"/>
        <w:rPr>
          <w:rFonts w:hint="eastAsia" w:ascii="宋体" w:hAnsi="宋体" w:cs="宋体"/>
          <w:sz w:val="24"/>
        </w:rPr>
      </w:pPr>
      <w:bookmarkStart w:id="80" w:name="_Toc14577357"/>
      <w:bookmarkStart w:id="81" w:name="_Toc14577354"/>
      <w:bookmarkStart w:id="82" w:name="_Toc49090508"/>
      <w:bookmarkStart w:id="83" w:name="_Toc513029216"/>
      <w:bookmarkStart w:id="84" w:name="_Toc513029219"/>
      <w:bookmarkStart w:id="85" w:name="_Toc49090509"/>
      <w:bookmarkStart w:id="86" w:name="_Toc49090507"/>
      <w:bookmarkStart w:id="87" w:name="_Toc14577355"/>
      <w:bookmarkStart w:id="88" w:name="_Hlt26670360"/>
      <w:bookmarkStart w:id="89" w:name="_Hlt26954838"/>
      <w:bookmarkStart w:id="90" w:name="_Hlt26668975"/>
      <w:r>
        <w:rPr>
          <w:rFonts w:hint="eastAsia" w:ascii="宋体" w:hAnsi="宋体" w:cs="宋体"/>
          <w:sz w:val="24"/>
        </w:rPr>
        <w:t>11、证明磋商响应标的符合磋商文件规定的文件</w:t>
      </w:r>
      <w:bookmarkEnd w:id="80"/>
      <w:bookmarkEnd w:id="81"/>
      <w:bookmarkEnd w:id="82"/>
      <w:bookmarkEnd w:id="83"/>
      <w:bookmarkEnd w:id="84"/>
      <w:bookmarkEnd w:id="85"/>
      <w:bookmarkEnd w:id="86"/>
      <w:bookmarkEnd w:id="87"/>
    </w:p>
    <w:p w14:paraId="7777AC40">
      <w:pPr>
        <w:spacing w:line="500" w:lineRule="exact"/>
        <w:ind w:firstLine="480"/>
        <w:rPr>
          <w:rFonts w:hint="eastAsia" w:ascii="宋体" w:hAnsi="宋体" w:cs="宋体"/>
          <w:sz w:val="24"/>
        </w:rPr>
      </w:pPr>
      <w:r>
        <w:rPr>
          <w:rFonts w:hint="eastAsia" w:ascii="宋体" w:hAnsi="宋体" w:cs="宋体"/>
          <w:sz w:val="24"/>
        </w:rPr>
        <w:t>11.1供应商应按照磋商文件要求提交证明文件，证明其及磋商响应标的符合磋商文件规定。</w:t>
      </w:r>
    </w:p>
    <w:p w14:paraId="7591D6CE">
      <w:pPr>
        <w:spacing w:line="500" w:lineRule="exact"/>
        <w:ind w:firstLine="480"/>
        <w:rPr>
          <w:rFonts w:hint="eastAsia" w:ascii="宋体" w:hAnsi="宋体" w:cs="宋体"/>
          <w:sz w:val="24"/>
        </w:rPr>
      </w:pPr>
      <w:r>
        <w:rPr>
          <w:rFonts w:hint="eastAsia" w:ascii="宋体" w:hAnsi="宋体" w:cs="宋体"/>
          <w:sz w:val="24"/>
        </w:rPr>
        <w:t>11.2磋商文件对证明文件无明确形式要求的，证明文件可以以文字资料、图纸和数据等形式提交。</w:t>
      </w:r>
    </w:p>
    <w:p w14:paraId="12B07A76">
      <w:pPr>
        <w:spacing w:line="500" w:lineRule="exact"/>
        <w:ind w:firstLine="480"/>
        <w:rPr>
          <w:rFonts w:hint="eastAsia" w:ascii="宋体" w:hAnsi="宋体" w:cs="宋体"/>
          <w:sz w:val="24"/>
        </w:rPr>
      </w:pPr>
      <w:r>
        <w:rPr>
          <w:rFonts w:hint="eastAsia" w:ascii="宋体" w:hAnsi="宋体" w:cs="宋体"/>
          <w:sz w:val="24"/>
        </w:rPr>
        <w:t>12、分项报价表</w:t>
      </w:r>
    </w:p>
    <w:p w14:paraId="24B9452F">
      <w:pPr>
        <w:spacing w:line="500" w:lineRule="exact"/>
        <w:ind w:firstLine="480"/>
        <w:rPr>
          <w:rFonts w:hint="eastAsia" w:ascii="宋体" w:hAnsi="宋体" w:cs="宋体"/>
          <w:sz w:val="24"/>
        </w:rPr>
      </w:pPr>
      <w:r>
        <w:rPr>
          <w:rFonts w:hint="eastAsia" w:ascii="宋体" w:hAnsi="宋体" w:cs="宋体"/>
          <w:sz w:val="24"/>
        </w:rPr>
        <w:t>12.1供应商应按照磋商文件规定格式填报分项报价表。</w:t>
      </w:r>
    </w:p>
    <w:p w14:paraId="2B17754C">
      <w:pPr>
        <w:spacing w:line="500" w:lineRule="exact"/>
        <w:ind w:firstLine="480"/>
        <w:rPr>
          <w:rFonts w:hint="eastAsia" w:ascii="宋体" w:hAnsi="宋体" w:cs="宋体"/>
          <w:sz w:val="24"/>
        </w:rPr>
      </w:pPr>
      <w:r>
        <w:rPr>
          <w:rFonts w:hint="eastAsia" w:ascii="宋体" w:hAnsi="宋体" w:cs="宋体"/>
          <w:sz w:val="24"/>
        </w:rPr>
        <w:t>12.2磋商货币。响应文件中的单价和总价无特殊规定的采用人民币报价，以元为单位标注。磋商文件中另有规定的按规定执行。</w:t>
      </w:r>
    </w:p>
    <w:p w14:paraId="65E1CAFA">
      <w:pPr>
        <w:spacing w:line="500" w:lineRule="exact"/>
        <w:ind w:firstLine="480"/>
        <w:rPr>
          <w:rFonts w:hint="eastAsia" w:ascii="宋体" w:hAnsi="宋体" w:cs="宋体"/>
          <w:sz w:val="24"/>
        </w:rPr>
      </w:pPr>
      <w:bookmarkStart w:id="91" w:name="_Hlt26954846"/>
      <w:bookmarkStart w:id="92" w:name="_Hlt26954731"/>
      <w:bookmarkStart w:id="93" w:name="_Hlt26954848"/>
      <w:bookmarkStart w:id="94" w:name="_Hlt26670482"/>
      <w:bookmarkStart w:id="95" w:name="_Hlt26670486"/>
      <w:r>
        <w:rPr>
          <w:rFonts w:hint="eastAsia" w:ascii="宋体" w:hAnsi="宋体" w:cs="宋体"/>
          <w:sz w:val="24"/>
        </w:rPr>
        <w:t>13、技术要求响应及偏离表、商务要求响应及偏离表</w:t>
      </w:r>
    </w:p>
    <w:p w14:paraId="5FF0FE19">
      <w:pPr>
        <w:spacing w:line="500" w:lineRule="exact"/>
        <w:ind w:firstLine="480"/>
        <w:rPr>
          <w:rFonts w:hint="eastAsia" w:ascii="宋体" w:hAnsi="宋体" w:cs="宋体"/>
          <w:sz w:val="24"/>
        </w:rPr>
      </w:pPr>
      <w:r>
        <w:rPr>
          <w:rFonts w:hint="eastAsia" w:ascii="宋体" w:hAnsi="宋体" w:cs="宋体"/>
          <w:sz w:val="24"/>
        </w:rPr>
        <w:t>13.1供应商需对磋商文件中的技术要求与商务要求逐项作出响应或偏离，并说明原因。</w:t>
      </w:r>
    </w:p>
    <w:p w14:paraId="608E5F56">
      <w:pPr>
        <w:spacing w:line="500" w:lineRule="exact"/>
        <w:ind w:firstLine="480"/>
        <w:rPr>
          <w:rFonts w:hint="eastAsia" w:ascii="宋体" w:hAnsi="宋体" w:cs="宋体"/>
          <w:sz w:val="24"/>
        </w:rPr>
      </w:pPr>
      <w:r>
        <w:rPr>
          <w:rFonts w:hint="eastAsia" w:ascii="宋体" w:hAnsi="宋体" w:cs="宋体"/>
          <w:sz w:val="24"/>
        </w:rPr>
        <w:t>13.2供应商可在响应文件中提供认为需要的其他技术文件或说明。</w:t>
      </w:r>
    </w:p>
    <w:p w14:paraId="78160F97">
      <w:pPr>
        <w:spacing w:line="500" w:lineRule="exact"/>
        <w:ind w:firstLine="480"/>
        <w:rPr>
          <w:rFonts w:hint="eastAsia" w:ascii="宋体" w:hAnsi="宋体" w:cs="宋体"/>
          <w:sz w:val="24"/>
        </w:rPr>
      </w:pPr>
      <w:r>
        <w:rPr>
          <w:rFonts w:hint="eastAsia" w:ascii="宋体" w:hAnsi="宋体" w:cs="宋体"/>
          <w:sz w:val="24"/>
        </w:rPr>
        <w:t>14、服务承诺、培训计划、人员安排及其他</w:t>
      </w:r>
    </w:p>
    <w:p w14:paraId="450B0C54">
      <w:pPr>
        <w:spacing w:line="500" w:lineRule="exact"/>
        <w:ind w:firstLine="480"/>
        <w:rPr>
          <w:rFonts w:hint="eastAsia" w:ascii="宋体" w:hAnsi="宋体" w:cs="宋体"/>
          <w:sz w:val="24"/>
        </w:rPr>
      </w:pPr>
      <w:r>
        <w:rPr>
          <w:rFonts w:hint="eastAsia" w:ascii="宋体" w:hAnsi="宋体" w:cs="宋体"/>
          <w:sz w:val="24"/>
        </w:rPr>
        <w:t>14.1供应商需根据磋商文件要求提供有关售后服务的管理制度，售后服务机构的分布情况，售后服务人员的数量、素质、技术水平及售后服务的反应能力等。</w:t>
      </w:r>
    </w:p>
    <w:p w14:paraId="6E61F0A9">
      <w:pPr>
        <w:spacing w:line="500" w:lineRule="exact"/>
        <w:ind w:firstLine="480"/>
        <w:rPr>
          <w:rFonts w:hint="eastAsia" w:ascii="宋体" w:hAnsi="宋体" w:cs="宋体"/>
          <w:sz w:val="24"/>
        </w:rPr>
      </w:pPr>
      <w:r>
        <w:rPr>
          <w:rFonts w:hint="eastAsia" w:ascii="宋体" w:hAnsi="宋体" w:cs="宋体"/>
          <w:sz w:val="24"/>
        </w:rPr>
        <w:t>14.2供应商需根据磋商文件要求提供培训计划。</w:t>
      </w:r>
    </w:p>
    <w:p w14:paraId="41D40507">
      <w:pPr>
        <w:spacing w:line="500" w:lineRule="exact"/>
        <w:ind w:firstLine="480"/>
        <w:rPr>
          <w:rFonts w:hint="eastAsia" w:ascii="宋体" w:hAnsi="宋体" w:cs="宋体"/>
          <w:sz w:val="24"/>
        </w:rPr>
      </w:pPr>
      <w:r>
        <w:rPr>
          <w:rFonts w:hint="eastAsia" w:ascii="宋体" w:hAnsi="宋体" w:cs="宋体"/>
          <w:sz w:val="24"/>
        </w:rPr>
        <w:t>14.3供应商需根据磋商文件要求提供磋商响应标的的主要组成部分、功能设计、实现思路及关键技术等。</w:t>
      </w:r>
    </w:p>
    <w:p w14:paraId="6510BE44">
      <w:pPr>
        <w:spacing w:line="500" w:lineRule="exact"/>
        <w:ind w:firstLine="480"/>
        <w:rPr>
          <w:rFonts w:hint="eastAsia" w:ascii="宋体" w:hAnsi="宋体" w:cs="宋体"/>
          <w:sz w:val="24"/>
        </w:rPr>
      </w:pPr>
      <w:bookmarkStart w:id="96" w:name="_Toc14577359"/>
      <w:bookmarkStart w:id="97" w:name="_Toc49090510"/>
      <w:r>
        <w:rPr>
          <w:rFonts w:hint="eastAsia" w:ascii="宋体" w:hAnsi="宋体" w:cs="宋体"/>
          <w:sz w:val="24"/>
        </w:rPr>
        <w:t>15、磋商响应函</w:t>
      </w:r>
      <w:bookmarkEnd w:id="96"/>
      <w:bookmarkEnd w:id="97"/>
    </w:p>
    <w:p w14:paraId="64CC5EF3">
      <w:pPr>
        <w:spacing w:line="500" w:lineRule="exact"/>
        <w:ind w:firstLine="480"/>
        <w:rPr>
          <w:rFonts w:hint="eastAsia" w:ascii="宋体" w:hAnsi="宋体" w:cs="宋体"/>
          <w:sz w:val="24"/>
        </w:rPr>
      </w:pPr>
      <w:r>
        <w:rPr>
          <w:rFonts w:hint="eastAsia" w:ascii="宋体" w:hAnsi="宋体" w:cs="宋体"/>
          <w:sz w:val="24"/>
        </w:rPr>
        <w:t>15.1供应商应按照磋商文件中提供的格式完整、正确填写磋商响应函。</w:t>
      </w:r>
    </w:p>
    <w:p w14:paraId="6BF7378A">
      <w:pPr>
        <w:spacing w:line="500" w:lineRule="exact"/>
        <w:ind w:firstLine="480"/>
        <w:rPr>
          <w:rFonts w:hint="eastAsia" w:ascii="宋体" w:hAnsi="宋体" w:cs="宋体"/>
          <w:sz w:val="24"/>
        </w:rPr>
      </w:pPr>
      <w:bookmarkStart w:id="98" w:name="_Toc49090511"/>
      <w:bookmarkStart w:id="99" w:name="_Toc14577360"/>
      <w:r>
        <w:rPr>
          <w:rFonts w:hint="eastAsia" w:ascii="宋体" w:hAnsi="宋体" w:cs="宋体"/>
          <w:sz w:val="24"/>
        </w:rPr>
        <w:t>16、磋商有效期</w:t>
      </w:r>
      <w:bookmarkEnd w:id="98"/>
      <w:bookmarkEnd w:id="99"/>
    </w:p>
    <w:p w14:paraId="6B00E09C">
      <w:pPr>
        <w:spacing w:line="500" w:lineRule="exact"/>
        <w:ind w:firstLine="480"/>
        <w:rPr>
          <w:rFonts w:hint="eastAsia" w:ascii="宋体" w:hAnsi="宋体" w:cs="宋体"/>
          <w:sz w:val="24"/>
        </w:rPr>
      </w:pPr>
      <w:r>
        <w:rPr>
          <w:rFonts w:hint="eastAsia" w:ascii="宋体" w:hAnsi="宋体" w:cs="宋体"/>
          <w:sz w:val="24"/>
        </w:rPr>
        <w:t>16.1磋商有效期为</w:t>
      </w:r>
      <w:r>
        <w:rPr>
          <w:rFonts w:hint="eastAsia" w:ascii="宋体" w:hAnsi="宋体" w:cs="宋体"/>
          <w:sz w:val="24"/>
          <w:lang w:val="en-US" w:eastAsia="zh-CN"/>
        </w:rPr>
        <w:t>采购人</w:t>
      </w:r>
      <w:r>
        <w:rPr>
          <w:rFonts w:hint="eastAsia" w:ascii="宋体" w:hAnsi="宋体" w:cs="宋体"/>
          <w:sz w:val="24"/>
        </w:rPr>
        <w:t>规定的提交响应文件截止之日后六十（60）。磋商有效期比规定短的将被视为非实质性响应磋商文件而予以拒绝。</w:t>
      </w:r>
    </w:p>
    <w:p w14:paraId="3F35B79F">
      <w:pPr>
        <w:spacing w:line="500" w:lineRule="exact"/>
        <w:ind w:firstLine="480"/>
        <w:rPr>
          <w:rFonts w:hint="eastAsia" w:ascii="宋体" w:hAnsi="宋体" w:cs="宋体"/>
          <w:sz w:val="24"/>
        </w:rPr>
      </w:pPr>
      <w:r>
        <w:rPr>
          <w:rFonts w:hint="eastAsia" w:ascii="宋体" w:hAnsi="宋体" w:cs="宋体"/>
          <w:sz w:val="24"/>
        </w:rPr>
        <w:t>17、磋商有效期的延长</w:t>
      </w:r>
    </w:p>
    <w:p w14:paraId="7A96D9C7">
      <w:pPr>
        <w:spacing w:line="500" w:lineRule="exact"/>
        <w:ind w:firstLine="480"/>
        <w:rPr>
          <w:rFonts w:hint="eastAsia" w:ascii="宋体" w:hAnsi="宋体" w:cs="宋体"/>
          <w:sz w:val="24"/>
        </w:rPr>
      </w:pPr>
      <w:r>
        <w:rPr>
          <w:rFonts w:hint="eastAsia" w:ascii="宋体" w:hAnsi="宋体" w:cs="宋体"/>
          <w:sz w:val="24"/>
        </w:rPr>
        <w:t>17.1在特殊情况下，</w:t>
      </w:r>
      <w:r>
        <w:rPr>
          <w:rFonts w:hint="eastAsia" w:ascii="宋体" w:hAnsi="宋体" w:cs="宋体"/>
          <w:sz w:val="24"/>
          <w:lang w:val="en-US" w:eastAsia="zh-CN"/>
        </w:rPr>
        <w:t>采购人</w:t>
      </w:r>
      <w:r>
        <w:rPr>
          <w:rFonts w:hint="eastAsia" w:ascii="宋体" w:hAnsi="宋体" w:cs="宋体"/>
          <w:sz w:val="24"/>
        </w:rPr>
        <w:t>于原磋商有效期满之前，可向供应商提出延长磋商有效期的要求。这种要求与答复均应采用书面形式。供应商可以拒绝</w:t>
      </w:r>
      <w:r>
        <w:rPr>
          <w:rFonts w:hint="eastAsia" w:ascii="宋体" w:hAnsi="宋体" w:cs="宋体"/>
          <w:sz w:val="24"/>
          <w:lang w:val="en-US" w:eastAsia="zh-CN"/>
        </w:rPr>
        <w:t>采购人</w:t>
      </w:r>
      <w:r>
        <w:rPr>
          <w:rFonts w:hint="eastAsia" w:ascii="宋体" w:hAnsi="宋体" w:cs="宋体"/>
          <w:sz w:val="24"/>
        </w:rPr>
        <w:t>的这一要求而放弃磋商，同意延长磋商有效期的供应商既不能要求也不允许修改其响应文件。受磋商有效期约束的所有权利与义务均延长至新的有效期。</w:t>
      </w:r>
    </w:p>
    <w:p w14:paraId="0020DEBC">
      <w:pPr>
        <w:pStyle w:val="16"/>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00" w:name="_Toc513029224"/>
      <w:bookmarkStart w:id="101" w:name="_Toc16938540"/>
      <w:bookmarkStart w:id="102" w:name="_Toc20823296"/>
      <w:bookmarkStart w:id="103" w:name="_Toc120614217"/>
      <w:bookmarkStart w:id="104" w:name="_Hlt26954739"/>
      <w:bookmarkStart w:id="105" w:name="_Hlt26954852"/>
      <w:r>
        <w:rPr>
          <w:rFonts w:hint="eastAsia" w:ascii="宋体" w:hAnsi="宋体" w:eastAsia="宋体" w:cs="宋体"/>
          <w:b/>
          <w:color w:val="auto"/>
          <w:sz w:val="24"/>
          <w:szCs w:val="24"/>
          <w:highlight w:val="none"/>
        </w:rPr>
        <w:t>四、响应文件的递交</w:t>
      </w:r>
      <w:bookmarkEnd w:id="100"/>
      <w:bookmarkEnd w:id="101"/>
      <w:bookmarkEnd w:id="102"/>
      <w:bookmarkEnd w:id="103"/>
    </w:p>
    <w:p w14:paraId="54033AFA">
      <w:pPr>
        <w:spacing w:line="500" w:lineRule="exact"/>
        <w:ind w:firstLine="480"/>
        <w:rPr>
          <w:rFonts w:hint="eastAsia" w:ascii="宋体" w:hAnsi="宋体" w:cs="宋体"/>
          <w:sz w:val="24"/>
          <w:lang w:val="en-US" w:eastAsia="zh-CN"/>
        </w:rPr>
      </w:pPr>
      <w:bookmarkStart w:id="106" w:name="_Toc513029225"/>
      <w:bookmarkStart w:id="107" w:name="_Toc20823297"/>
      <w:bookmarkStart w:id="108" w:name="_Toc462564084"/>
      <w:bookmarkStart w:id="109" w:name="_Toc16938541"/>
      <w:r>
        <w:rPr>
          <w:rFonts w:hint="eastAsia" w:ascii="宋体" w:hAnsi="宋体" w:cs="宋体"/>
          <w:sz w:val="24"/>
          <w:lang w:val="en-US" w:eastAsia="zh-CN"/>
        </w:rPr>
        <w:t>18、电子磋商</w:t>
      </w:r>
      <w:bookmarkEnd w:id="106"/>
      <w:bookmarkEnd w:id="107"/>
      <w:bookmarkEnd w:id="108"/>
      <w:bookmarkEnd w:id="109"/>
      <w:r>
        <w:rPr>
          <w:rFonts w:hint="eastAsia" w:ascii="宋体" w:hAnsi="宋体" w:cs="宋体"/>
          <w:sz w:val="24"/>
          <w:lang w:val="en-US" w:eastAsia="zh-CN"/>
        </w:rPr>
        <w:t>响应文件的递交</w:t>
      </w:r>
    </w:p>
    <w:p w14:paraId="1AB1A416">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18.1供应商应当按照《操作手册》规定，在提交响应文件截止时间前制作并上传电子响应文件。</w:t>
      </w:r>
      <w:bookmarkStart w:id="110" w:name="_Toc20823298"/>
      <w:bookmarkEnd w:id="110"/>
      <w:bookmarkStart w:id="111" w:name="_Toc16938542"/>
      <w:bookmarkEnd w:id="111"/>
      <w:bookmarkStart w:id="112" w:name="_Toc513029226"/>
    </w:p>
    <w:p w14:paraId="2BB5721D">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19、提交响应文件截止时间</w:t>
      </w:r>
    </w:p>
    <w:p w14:paraId="154C87FB">
      <w:pPr>
        <w:spacing w:line="500" w:lineRule="exact"/>
        <w:ind w:firstLine="480"/>
        <w:rPr>
          <w:rFonts w:hint="eastAsia" w:ascii="宋体" w:hAnsi="宋体" w:cs="宋体"/>
          <w:sz w:val="24"/>
          <w:u w:val="single"/>
          <w:lang w:val="en-US" w:eastAsia="zh-CN"/>
        </w:rPr>
      </w:pPr>
      <w:r>
        <w:rPr>
          <w:rFonts w:hint="eastAsia" w:ascii="宋体" w:hAnsi="宋体" w:cs="宋体"/>
          <w:sz w:val="24"/>
          <w:lang w:val="en-US" w:eastAsia="zh-CN"/>
        </w:rPr>
        <w:t>19.1</w:t>
      </w:r>
      <w:r>
        <w:rPr>
          <w:rFonts w:hint="eastAsia" w:ascii="宋体" w:hAnsi="宋体" w:cs="宋体"/>
          <w:sz w:val="24"/>
          <w:u w:val="single"/>
          <w:lang w:val="en-US" w:eastAsia="zh-CN"/>
        </w:rPr>
        <w:t>供应商上传电子响应文件的时间不得迟于磋商公告中规定的提交响应文件截止时间。</w:t>
      </w:r>
    </w:p>
    <w:p w14:paraId="78DBBD77">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供应商应充分考虑到网络环境、网络带宽等风险因素，如因供应商自身原因造成的电子响应文件上传不成功的按照本磋商文件第二章第26.3.2条规定做无效响应处理。</w:t>
      </w:r>
    </w:p>
    <w:p w14:paraId="283D4357">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19.2 采购人可以按照规定，通过修改磋商文件酌情延长提交响应文件截止日期，在此情况下，供应商的所有权利和义务以及供应商受制的截止日期均应以延长后新的截止日期为准。</w:t>
      </w:r>
    </w:p>
    <w:p w14:paraId="0ACE8C33">
      <w:pPr>
        <w:spacing w:line="500" w:lineRule="exact"/>
        <w:ind w:firstLine="480"/>
        <w:rPr>
          <w:rFonts w:hint="eastAsia" w:ascii="宋体" w:hAnsi="宋体" w:cs="宋体"/>
          <w:sz w:val="24"/>
          <w:lang w:val="en-US" w:eastAsia="zh-CN"/>
        </w:rPr>
      </w:pPr>
      <w:bookmarkStart w:id="113" w:name="_Toc513029227"/>
      <w:bookmarkStart w:id="114" w:name="_Toc20823299"/>
      <w:bookmarkStart w:id="115" w:name="_Toc16938543"/>
      <w:r>
        <w:rPr>
          <w:rFonts w:hint="eastAsia" w:ascii="宋体" w:hAnsi="宋体" w:cs="宋体"/>
          <w:sz w:val="24"/>
          <w:lang w:val="en-US" w:eastAsia="zh-CN"/>
        </w:rPr>
        <w:t>20、响应文件</w:t>
      </w:r>
      <w:bookmarkEnd w:id="113"/>
      <w:bookmarkEnd w:id="114"/>
      <w:bookmarkEnd w:id="115"/>
      <w:r>
        <w:rPr>
          <w:rFonts w:hint="eastAsia" w:ascii="宋体" w:hAnsi="宋体" w:cs="宋体"/>
          <w:sz w:val="24"/>
          <w:lang w:val="en-US" w:eastAsia="zh-CN"/>
        </w:rPr>
        <w:t>的拒收</w:t>
      </w:r>
    </w:p>
    <w:p w14:paraId="650DEA37">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20.1采购人拒绝接收在其规定的提交响应文件截止时间后上传的任何电子响应文件。</w:t>
      </w:r>
    </w:p>
    <w:p w14:paraId="04FE860A">
      <w:pPr>
        <w:spacing w:line="500" w:lineRule="exact"/>
        <w:ind w:firstLine="480"/>
        <w:rPr>
          <w:rFonts w:hint="eastAsia" w:ascii="宋体" w:hAnsi="宋体" w:cs="宋体"/>
          <w:sz w:val="24"/>
          <w:lang w:val="en-US" w:eastAsia="zh-CN"/>
        </w:rPr>
      </w:pPr>
      <w:bookmarkStart w:id="116" w:name="_Toc16938544"/>
      <w:bookmarkStart w:id="117" w:name="_Toc513029228"/>
      <w:bookmarkStart w:id="118" w:name="_Toc20823300"/>
      <w:r>
        <w:rPr>
          <w:rFonts w:hint="eastAsia" w:ascii="宋体" w:hAnsi="宋体" w:cs="宋体"/>
          <w:sz w:val="24"/>
          <w:lang w:val="en-US" w:eastAsia="zh-CN"/>
        </w:rPr>
        <w:t>21、响应文件的撤回和修改</w:t>
      </w:r>
      <w:bookmarkEnd w:id="116"/>
      <w:bookmarkEnd w:id="117"/>
      <w:bookmarkEnd w:id="118"/>
    </w:p>
    <w:p w14:paraId="32648F13">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21.1响应文件的撤回</w:t>
      </w:r>
    </w:p>
    <w:p w14:paraId="1B293C1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21.1.1 电子响应文件的撤回</w:t>
      </w:r>
    </w:p>
    <w:p w14:paraId="662C7B07">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供应商可在提交响应文件截止时间前，撤回其电子响应文件，具体操作方法见《操作手册》。</w:t>
      </w:r>
    </w:p>
    <w:p w14:paraId="4F03D64C">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21.1.2供应商撤回电子响应文件，则认为其不再参与本项目磋商活动。</w:t>
      </w:r>
    </w:p>
    <w:p w14:paraId="3A90E47D">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21.2响应文件的修改</w:t>
      </w:r>
    </w:p>
    <w:p w14:paraId="2F5BAD6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供应商可在提交响应文件截止时间前，对其电子响应文件进行修改，具体操作方法见《操作手册》。</w:t>
      </w:r>
    </w:p>
    <w:p w14:paraId="2407ED7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21.3 在提交响应文件截止时间之后，供应商不得对其电子响应文件作任何修改。</w:t>
      </w:r>
    </w:p>
    <w:p w14:paraId="46F9251D">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21.4 在提交响应文件截止时间至磋商文件中规定的磋商有效期满之间的这段时间内，供应商不得撤回其响应文件。</w:t>
      </w:r>
    </w:p>
    <w:p w14:paraId="3520CE81">
      <w:pPr>
        <w:spacing w:line="500" w:lineRule="exact"/>
        <w:ind w:firstLine="480"/>
        <w:rPr>
          <w:rFonts w:hint="eastAsia" w:ascii="宋体" w:hAnsi="宋体" w:cs="宋体"/>
          <w:sz w:val="24"/>
          <w:lang w:val="en-US" w:eastAsia="zh-CN"/>
        </w:rPr>
      </w:pPr>
      <w:bookmarkStart w:id="119" w:name="_Toc16938545"/>
      <w:bookmarkStart w:id="120" w:name="_Toc120614218"/>
      <w:bookmarkStart w:id="121" w:name="_Toc20823301"/>
      <w:bookmarkStart w:id="122" w:name="_Toc513029229"/>
      <w:r>
        <w:rPr>
          <w:rFonts w:hint="eastAsia" w:ascii="宋体" w:hAnsi="宋体" w:cs="宋体"/>
          <w:sz w:val="24"/>
          <w:lang w:val="en-US" w:eastAsia="zh-CN"/>
        </w:rPr>
        <w:t>五、响应文件的解密与评审</w:t>
      </w:r>
      <w:bookmarkEnd w:id="119"/>
      <w:bookmarkEnd w:id="120"/>
      <w:bookmarkEnd w:id="121"/>
      <w:bookmarkEnd w:id="122"/>
    </w:p>
    <w:p w14:paraId="247F403E">
      <w:pPr>
        <w:spacing w:line="500" w:lineRule="exact"/>
        <w:ind w:firstLine="480"/>
        <w:rPr>
          <w:rFonts w:hint="eastAsia" w:ascii="宋体" w:hAnsi="宋体" w:cs="宋体"/>
          <w:sz w:val="24"/>
          <w:lang w:val="en-US" w:eastAsia="zh-CN"/>
        </w:rPr>
      </w:pPr>
      <w:bookmarkStart w:id="123" w:name="_Toc20823302"/>
      <w:bookmarkStart w:id="124" w:name="_Toc513029230"/>
      <w:bookmarkStart w:id="125" w:name="_Toc16938546"/>
      <w:r>
        <w:rPr>
          <w:rFonts w:hint="eastAsia" w:ascii="宋体" w:hAnsi="宋体" w:cs="宋体"/>
          <w:sz w:val="24"/>
          <w:lang w:val="en-US" w:eastAsia="zh-CN"/>
        </w:rPr>
        <w:t>22、</w:t>
      </w:r>
      <w:bookmarkEnd w:id="123"/>
      <w:bookmarkEnd w:id="124"/>
      <w:bookmarkEnd w:id="125"/>
      <w:r>
        <w:rPr>
          <w:rFonts w:hint="eastAsia" w:ascii="宋体" w:hAnsi="宋体" w:cs="宋体"/>
          <w:sz w:val="24"/>
          <w:lang w:val="en-US" w:eastAsia="zh-CN"/>
        </w:rPr>
        <w:t>响应文件解密</w:t>
      </w:r>
    </w:p>
    <w:p w14:paraId="6D4B9C6D">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22.1供应商应当按照《操作手册》规定，在苏采云系统规定的时间内对磋商响应文件进行解密。</w:t>
      </w:r>
    </w:p>
    <w:p w14:paraId="71393B36">
      <w:pPr>
        <w:spacing w:line="500" w:lineRule="exact"/>
        <w:ind w:firstLine="480"/>
        <w:rPr>
          <w:rFonts w:hint="eastAsia" w:ascii="宋体" w:hAnsi="宋体" w:cs="宋体"/>
          <w:sz w:val="24"/>
          <w:lang w:val="en-US" w:eastAsia="zh-CN"/>
        </w:rPr>
      </w:pPr>
      <w:bookmarkStart w:id="126" w:name="_Toc513029231"/>
      <w:bookmarkStart w:id="127" w:name="_Toc20823303"/>
      <w:bookmarkStart w:id="128" w:name="_Toc16938547"/>
      <w:r>
        <w:rPr>
          <w:rFonts w:hint="eastAsia" w:ascii="宋体" w:hAnsi="宋体" w:cs="宋体"/>
          <w:sz w:val="24"/>
          <w:lang w:val="en-US" w:eastAsia="zh-CN"/>
        </w:rPr>
        <w:t>23、磋商小组</w:t>
      </w:r>
      <w:bookmarkEnd w:id="126"/>
      <w:bookmarkEnd w:id="127"/>
      <w:bookmarkEnd w:id="128"/>
    </w:p>
    <w:p w14:paraId="608E9D5F">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23.1采购人将组织磋商小组对响应文件进行评审。磋商小组由采购人代表和有关技术、经济等方面的专家组成，且人员构成符合政府采购有关规定。</w:t>
      </w:r>
    </w:p>
    <w:p w14:paraId="749241A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23.2磋商小组独立工作，负责评审所有响应文件并确定成交候选人。</w:t>
      </w:r>
    </w:p>
    <w:p w14:paraId="2AA52925">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24、评审过程的保密与公正</w:t>
      </w:r>
    </w:p>
    <w:p w14:paraId="70CC1CF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24.1磋商小组、采购人和</w:t>
      </w:r>
      <w:r>
        <w:rPr>
          <w:rFonts w:hint="eastAsia" w:ascii="宋体" w:hAnsi="宋体" w:cs="宋体"/>
          <w:sz w:val="24"/>
        </w:rPr>
        <w:t>代理公司</w:t>
      </w:r>
      <w:r>
        <w:rPr>
          <w:rFonts w:hint="eastAsia" w:ascii="宋体" w:hAnsi="宋体" w:cs="宋体"/>
          <w:sz w:val="24"/>
          <w:lang w:val="en-US" w:eastAsia="zh-CN"/>
        </w:rPr>
        <w:t>工作人员、相关监督人员等与评审工作有关的人员，对评审情况以及在评审过程中获悉的国家秘密、商业秘密负有保密责任。</w:t>
      </w:r>
    </w:p>
    <w:p w14:paraId="10581076">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24.2在评审过程中，供应商不得以任何行为影响磋商评审过程，否则其响应文件将被视为无效响应文件。</w:t>
      </w:r>
    </w:p>
    <w:p w14:paraId="2E39CC3F">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24.3在项目评审期间，采购人将设专门人员与供应商联系。</w:t>
      </w:r>
    </w:p>
    <w:p w14:paraId="6528CA49">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24.4 采购人和磋商小组不向未成交的供应商解释未成交原因，也不公布评审过程中的相关细节。</w:t>
      </w:r>
    </w:p>
    <w:p w14:paraId="2DBC2369">
      <w:pPr>
        <w:spacing w:line="500" w:lineRule="exact"/>
        <w:ind w:firstLine="480"/>
        <w:rPr>
          <w:rFonts w:hint="eastAsia" w:ascii="宋体" w:hAnsi="宋体" w:cs="宋体"/>
          <w:sz w:val="24"/>
          <w:lang w:val="en-US" w:eastAsia="zh-CN"/>
        </w:rPr>
      </w:pPr>
      <w:bookmarkStart w:id="129" w:name="_Toc16938548"/>
      <w:bookmarkStart w:id="130" w:name="_Toc20823304"/>
      <w:bookmarkStart w:id="131" w:name="_Toc513029232"/>
      <w:r>
        <w:rPr>
          <w:rFonts w:hint="eastAsia" w:ascii="宋体" w:hAnsi="宋体" w:cs="宋体"/>
          <w:sz w:val="24"/>
          <w:lang w:val="en-US" w:eastAsia="zh-CN"/>
        </w:rPr>
        <w:t>25、评审过程中的澄清</w:t>
      </w:r>
      <w:bookmarkEnd w:id="129"/>
      <w:bookmarkEnd w:id="130"/>
      <w:bookmarkEnd w:id="131"/>
    </w:p>
    <w:p w14:paraId="20B70A79">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磋商小组并非对每个供应商都作澄清要求。</w:t>
      </w:r>
    </w:p>
    <w:p w14:paraId="1D5C30B8">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25.3 接到磋商小组澄清、说明和更正要求的供应商如未按规定作出澄清、说明和更正，其风险由供应商自行承担。</w:t>
      </w:r>
    </w:p>
    <w:p w14:paraId="23F7B436">
      <w:pPr>
        <w:spacing w:line="500" w:lineRule="exact"/>
        <w:ind w:firstLine="480"/>
        <w:rPr>
          <w:rFonts w:hint="eastAsia" w:ascii="宋体" w:hAnsi="宋体" w:cs="宋体"/>
          <w:sz w:val="24"/>
          <w:lang w:val="en-US" w:eastAsia="zh-CN"/>
        </w:rPr>
      </w:pPr>
      <w:bookmarkStart w:id="132" w:name="_Toc16938549"/>
      <w:bookmarkStart w:id="133" w:name="_Toc513029233"/>
      <w:bookmarkStart w:id="134" w:name="_Toc20823305"/>
      <w:r>
        <w:rPr>
          <w:rFonts w:hint="eastAsia" w:ascii="宋体" w:hAnsi="宋体" w:cs="宋体"/>
          <w:sz w:val="24"/>
          <w:lang w:val="en-US" w:eastAsia="zh-CN"/>
        </w:rPr>
        <w:t>26、对响应文件的审</w:t>
      </w:r>
      <w:bookmarkEnd w:id="132"/>
      <w:bookmarkEnd w:id="133"/>
      <w:bookmarkEnd w:id="134"/>
      <w:r>
        <w:rPr>
          <w:rFonts w:hint="eastAsia" w:ascii="宋体" w:hAnsi="宋体" w:cs="宋体"/>
          <w:sz w:val="24"/>
          <w:lang w:val="en-US" w:eastAsia="zh-CN"/>
        </w:rPr>
        <w:t>查</w:t>
      </w:r>
    </w:p>
    <w:p w14:paraId="1BE39D1E">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26.1响应文件审查分为资格审查和符合性审查。</w:t>
      </w:r>
    </w:p>
    <w:p w14:paraId="2EC39E48">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26.1.1 资格审查：</w:t>
      </w:r>
      <w:r>
        <w:rPr>
          <w:rFonts w:hint="eastAsia" w:ascii="宋体" w:hAnsi="宋体" w:cs="宋体"/>
          <w:b/>
          <w:bCs/>
          <w:sz w:val="24"/>
          <w:lang w:val="en-US" w:eastAsia="zh-CN"/>
        </w:rPr>
        <w:t>由磋商小组依据法律法规和磋商文件的规定，对响应文件中的资格证明文件进行审查，以确定供应商是否具备参加磋商的资格。</w:t>
      </w:r>
    </w:p>
    <w:p w14:paraId="31BDFF71">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磋商小组在进行资格审查的同时，将在“信用中国”网站（www.creditchina.gov.cn）查询供应商的信用记录，以确定供应商是否具备磋商资格,查询结果留存并归档。</w:t>
      </w:r>
    </w:p>
    <w:p w14:paraId="09B4FB34">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26.1.2 符合性审查：依据磋商文件的规定，由磋商小组从响应文件的有效性、完整性和对磋商文件的响应程度进行审查，以确定是否对磋商文件的实质性要求作出响应。</w:t>
      </w:r>
    </w:p>
    <w:p w14:paraId="75DC1B15">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26.2在详细评审之前，磋商小组将首先审查每份响应文件是否实质性响应了磋商文件的要求。实质性响应的响应文件应该是与磋商文件要求的条款、条件和规格相符，没有重大偏离或保留。</w:t>
      </w:r>
    </w:p>
    <w:p w14:paraId="0D49288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26.3未实质性响应磋商文件的情形</w:t>
      </w:r>
    </w:p>
    <w:p w14:paraId="08A9FA92">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26.3.1供应商在苏采云系统规定的时间内未成功解密电子响应文件的。</w:t>
      </w:r>
    </w:p>
    <w:p w14:paraId="5BD5D67A">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26.3.2供应商未按照磋商文件要求上传电子响应文件的。</w:t>
      </w:r>
    </w:p>
    <w:p w14:paraId="3B6624BB">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26.3.3同一供应商提交两个（含两个）以上不同的响应文件或者最后报价的。</w:t>
      </w:r>
    </w:p>
    <w:p w14:paraId="20493144">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26.3.4供应商不具备磋商文件中规定资格要求的。</w:t>
      </w:r>
    </w:p>
    <w:p w14:paraId="0D7F7E51">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26.3.5供应商的最后报价超过了采购预算。</w:t>
      </w:r>
    </w:p>
    <w:p w14:paraId="19AFCED9">
      <w:pPr>
        <w:spacing w:line="500" w:lineRule="exact"/>
        <w:ind w:firstLine="480"/>
        <w:rPr>
          <w:rFonts w:hint="eastAsia" w:ascii="宋体" w:hAnsi="宋体" w:eastAsia="宋体" w:cs="宋体"/>
          <w:color w:val="auto"/>
          <w:sz w:val="24"/>
          <w:szCs w:val="24"/>
          <w:highlight w:val="none"/>
        </w:rPr>
      </w:pPr>
      <w:r>
        <w:rPr>
          <w:rFonts w:hint="eastAsia" w:ascii="宋体" w:hAnsi="宋体" w:cs="宋体"/>
          <w:sz w:val="24"/>
          <w:lang w:val="en-US" w:eastAsia="zh-CN"/>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26.3.8响应文件含有采购人不能接受的附加条件的。</w:t>
      </w:r>
    </w:p>
    <w:p w14:paraId="49A8CA61">
      <w:pPr>
        <w:spacing w:line="500" w:lineRule="exact"/>
        <w:ind w:firstLine="480"/>
        <w:rPr>
          <w:rFonts w:hint="eastAsia" w:ascii="宋体" w:hAnsi="宋体" w:cs="宋体"/>
          <w:sz w:val="24"/>
          <w:lang w:val="en-US" w:eastAsia="zh-CN"/>
        </w:rPr>
      </w:pPr>
      <w:r>
        <w:rPr>
          <w:rFonts w:hint="eastAsia" w:ascii="宋体" w:hAnsi="宋体" w:cs="宋体"/>
          <w:sz w:val="24"/>
          <w:lang w:val="en-US" w:eastAsia="zh-CN"/>
        </w:rPr>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26.3.10</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不能证明其报价合理性的，</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auto"/>
          <w:sz w:val="24"/>
          <w:szCs w:val="24"/>
          <w:highlight w:val="none"/>
        </w:rPr>
        <w:t>应当将其作为无效</w:t>
      </w:r>
      <w:r>
        <w:rPr>
          <w:rFonts w:hint="eastAsia" w:ascii="宋体" w:hAnsi="宋体" w:eastAsia="宋体" w:cs="宋体"/>
          <w:b/>
          <w:bCs/>
          <w:color w:val="000000"/>
          <w:kern w:val="0"/>
          <w:sz w:val="24"/>
          <w:szCs w:val="24"/>
          <w:highlight w:val="none"/>
          <w:lang w:val="en-US" w:eastAsia="zh-CN" w:bidi="ar-SA"/>
        </w:rPr>
        <w:t>响应</w:t>
      </w:r>
      <w:r>
        <w:rPr>
          <w:rFonts w:hint="eastAsia" w:ascii="宋体" w:hAnsi="宋体" w:eastAsia="宋体" w:cs="宋体"/>
          <w:b/>
          <w:bCs/>
          <w:color w:val="auto"/>
          <w:sz w:val="24"/>
          <w:szCs w:val="24"/>
          <w:highlight w:val="none"/>
        </w:rPr>
        <w:t>处理。</w:t>
      </w:r>
    </w:p>
    <w:p w14:paraId="6F27A046">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（一）评审过程中出现下列情形之一的，</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000000"/>
          <w:kern w:val="0"/>
          <w:sz w:val="24"/>
          <w:szCs w:val="24"/>
          <w:highlight w:val="none"/>
          <w:lang w:val="en-US" w:eastAsia="zh-CN" w:bidi="ar-SA"/>
        </w:rPr>
        <w:t>应当启动异常低价响应审查程序：</w:t>
      </w:r>
    </w:p>
    <w:p w14:paraId="07D8563E">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1.响应报价低于采购项目预算50%的，即响应报价&lt;采购项目预算×50%；</w:t>
      </w:r>
    </w:p>
    <w:p w14:paraId="504B0719">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2.响应报价低于采购项目最高限价45%的，即响应报价&lt;采购项目最高限价×45%；</w:t>
      </w:r>
    </w:p>
    <w:p w14:paraId="05605E05">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3.</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000000"/>
          <w:kern w:val="0"/>
          <w:sz w:val="24"/>
          <w:szCs w:val="24"/>
          <w:highlight w:val="none"/>
          <w:lang w:val="en-US" w:eastAsia="zh-CN" w:bidi="ar-SA"/>
        </w:rPr>
        <w:t>认定的供应商报价过低、有可能影响产品质量或者不能诚信履约的其他情形。</w:t>
      </w:r>
    </w:p>
    <w:p w14:paraId="36DA2651">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000000"/>
          <w:kern w:val="0"/>
          <w:sz w:val="24"/>
          <w:szCs w:val="24"/>
          <w:highlight w:val="none"/>
          <w:lang w:val="en-US" w:eastAsia="zh-CN" w:bidi="ar-SA"/>
        </w:rPr>
        <w:t>（二）启动异常低价响应审查后，</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000000"/>
          <w:kern w:val="0"/>
          <w:sz w:val="24"/>
          <w:szCs w:val="24"/>
          <w:highlight w:val="none"/>
          <w:lang w:val="en-US" w:eastAsia="zh-CN" w:bidi="ar-SA"/>
        </w:rPr>
        <w:t>应当要求相关供应商在评标现场合理的时间内，提供项目具体成本测算等与报价合理性相关的书面说明及相关证明材料，对响应价格作出解释，由</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000000"/>
          <w:kern w:val="0"/>
          <w:sz w:val="24"/>
          <w:szCs w:val="24"/>
          <w:highlight w:val="none"/>
          <w:lang w:val="en-US" w:eastAsia="zh-CN" w:bidi="ar-SA"/>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000000"/>
          <w:kern w:val="0"/>
          <w:sz w:val="24"/>
          <w:szCs w:val="24"/>
          <w:highlight w:val="none"/>
          <w:lang w:val="en-US" w:eastAsia="zh-CN" w:bidi="ar-SA"/>
        </w:rPr>
        <w:t>应当将其作为无效响应处理。审查相关情况应当在评审报告中进行记录。</w:t>
      </w:r>
    </w:p>
    <w:p w14:paraId="116A2C88">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bookmarkStart w:id="135" w:name="_Toc513029234"/>
      <w:bookmarkStart w:id="136" w:name="_Toc16938550"/>
      <w:bookmarkStart w:id="137" w:name="_Toc20823306"/>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及磋商小组联系。</w:t>
      </w:r>
      <w:bookmarkEnd w:id="135"/>
      <w:bookmarkEnd w:id="136"/>
      <w:bookmarkEnd w:id="137"/>
    </w:p>
    <w:p w14:paraId="596A9AC8">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6"/>
        <w:keepNext w:val="0"/>
        <w:keepLines w:val="0"/>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6"/>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8" w:name="_Toc16938551"/>
      <w:bookmarkStart w:id="139" w:name="_Toc120614219"/>
      <w:bookmarkStart w:id="140" w:name="_Toc20823307"/>
      <w:bookmarkStart w:id="141" w:name="_Toc513029235"/>
      <w:r>
        <w:rPr>
          <w:rFonts w:hint="eastAsia" w:ascii="宋体" w:hAnsi="宋体" w:eastAsia="宋体" w:cs="宋体"/>
          <w:b/>
          <w:color w:val="auto"/>
          <w:sz w:val="24"/>
          <w:szCs w:val="24"/>
          <w:highlight w:val="none"/>
        </w:rPr>
        <w:t>六、</w:t>
      </w:r>
      <w:bookmarkEnd w:id="138"/>
      <w:bookmarkEnd w:id="139"/>
      <w:bookmarkEnd w:id="140"/>
      <w:bookmarkEnd w:id="141"/>
      <w:r>
        <w:rPr>
          <w:rFonts w:hint="eastAsia" w:ascii="宋体" w:hAnsi="宋体" w:eastAsia="宋体" w:cs="宋体"/>
          <w:b/>
          <w:color w:val="auto"/>
          <w:sz w:val="24"/>
          <w:szCs w:val="24"/>
          <w:highlight w:val="none"/>
        </w:rPr>
        <w:t>成交</w:t>
      </w:r>
    </w:p>
    <w:p w14:paraId="0468F855">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rPr>
      </w:pPr>
      <w:bookmarkStart w:id="142" w:name="_Toc20823310"/>
      <w:bookmarkStart w:id="143" w:name="_Toc16938554"/>
      <w:bookmarkStart w:id="144" w:name="_Toc513029238"/>
      <w:r>
        <w:rPr>
          <w:rFonts w:hint="eastAsia" w:ascii="宋体" w:hAnsi="宋体" w:eastAsia="宋体" w:cs="宋体"/>
          <w:color w:val="auto"/>
          <w:sz w:val="24"/>
          <w:szCs w:val="24"/>
          <w:highlight w:val="none"/>
        </w:rPr>
        <w:t>28、</w:t>
      </w:r>
      <w:bookmarkEnd w:id="142"/>
      <w:r>
        <w:rPr>
          <w:rFonts w:hint="eastAsia" w:ascii="宋体" w:hAnsi="宋体" w:eastAsia="宋体" w:cs="宋体"/>
          <w:color w:val="auto"/>
          <w:sz w:val="24"/>
          <w:szCs w:val="24"/>
          <w:highlight w:val="none"/>
        </w:rPr>
        <w:t>确定</w:t>
      </w:r>
      <w:bookmarkEnd w:id="143"/>
      <w:bookmarkEnd w:id="144"/>
      <w:r>
        <w:rPr>
          <w:rFonts w:hint="eastAsia" w:ascii="宋体" w:hAnsi="宋体" w:eastAsia="宋体" w:cs="宋体"/>
          <w:color w:val="auto"/>
          <w:sz w:val="24"/>
          <w:szCs w:val="24"/>
          <w:highlight w:val="none"/>
        </w:rPr>
        <w:t>成交单位</w:t>
      </w:r>
    </w:p>
    <w:p w14:paraId="4C4960EA">
      <w:pPr>
        <w:pStyle w:val="16"/>
        <w:pageBreakBefore w:val="0"/>
        <w:widowControl w:val="0"/>
        <w:tabs>
          <w:tab w:val="left" w:pos="901"/>
        </w:tabs>
        <w:kinsoku/>
        <w:wordWrap/>
        <w:overflowPunct/>
        <w:topLinePunct w:val="0"/>
        <w:autoSpaceDE/>
        <w:autoSpaceDN/>
        <w:bidi w:val="0"/>
        <w:adjustRightInd/>
        <w:snapToGrid/>
        <w:spacing w:beforeAutospacing="0" w:after="145"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cs="宋体"/>
          <w:sz w:val="24"/>
        </w:rPr>
        <w:t>代理公司</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cs="宋体"/>
          <w:sz w:val="24"/>
        </w:rPr>
        <w:t>代理公司</w:t>
      </w:r>
      <w:r>
        <w:rPr>
          <w:rFonts w:hint="eastAsia" w:ascii="宋体" w:hAnsi="宋体" w:eastAsia="宋体" w:cs="宋体"/>
          <w:color w:val="auto"/>
          <w:sz w:val="24"/>
          <w:szCs w:val="24"/>
          <w:highlight w:val="none"/>
        </w:rPr>
        <w:t>工作人员恶意串通的。</w:t>
      </w:r>
    </w:p>
    <w:p w14:paraId="658D92C0">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cs="宋体"/>
          <w:sz w:val="24"/>
        </w:rPr>
        <w:t>代理公司</w:t>
      </w:r>
      <w:r>
        <w:rPr>
          <w:rFonts w:hint="eastAsia" w:ascii="宋体" w:hAnsi="宋体" w:eastAsia="宋体" w:cs="宋体"/>
          <w:color w:val="auto"/>
          <w:sz w:val="24"/>
          <w:szCs w:val="24"/>
          <w:highlight w:val="none"/>
        </w:rPr>
        <w:t>工作人员行贿或者提供其他不正当利益的。</w:t>
      </w:r>
    </w:p>
    <w:p w14:paraId="788D5736">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bookmarkStart w:id="145" w:name="_Toc200451960"/>
      <w:r>
        <w:rPr>
          <w:rFonts w:hint="eastAsia" w:ascii="宋体" w:hAnsi="宋体" w:eastAsia="宋体" w:cs="宋体"/>
          <w:color w:val="auto"/>
          <w:sz w:val="24"/>
          <w:szCs w:val="24"/>
          <w:highlight w:val="none"/>
        </w:rPr>
        <w:t>29、质疑处理</w:t>
      </w:r>
      <w:bookmarkEnd w:id="145"/>
    </w:p>
    <w:p w14:paraId="3FE1E9AB">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w:t>
      </w:r>
      <w:r>
        <w:rPr>
          <w:rFonts w:hint="eastAsia" w:ascii="宋体" w:hAnsi="宋体" w:cs="宋体"/>
          <w:sz w:val="24"/>
        </w:rPr>
        <w:t>代理公司</w:t>
      </w:r>
      <w:r>
        <w:rPr>
          <w:rFonts w:hint="eastAsia" w:ascii="宋体" w:hAnsi="宋体" w:eastAsia="宋体" w:cs="宋体"/>
          <w:color w:val="auto"/>
          <w:sz w:val="24"/>
          <w:szCs w:val="24"/>
          <w:highlight w:val="none"/>
        </w:rPr>
        <w:t>或采购人提出质疑。上述应知其权益受到损害之日，是指：</w:t>
      </w:r>
    </w:p>
    <w:p w14:paraId="425C9738">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3A7343A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采购</w:t>
      </w:r>
      <w:r>
        <w:rPr>
          <w:rFonts w:hint="eastAsia" w:ascii="宋体" w:hAnsi="宋体" w:cs="宋体"/>
          <w:sz w:val="24"/>
        </w:rPr>
        <w:t>代理公司</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采购</w:t>
      </w:r>
      <w:r>
        <w:rPr>
          <w:rFonts w:hint="eastAsia" w:ascii="宋体" w:hAnsi="宋体" w:cs="宋体"/>
          <w:sz w:val="24"/>
        </w:rPr>
        <w:t>代理公司</w:t>
      </w:r>
      <w:r>
        <w:rPr>
          <w:rFonts w:hint="eastAsia" w:ascii="宋体" w:hAnsi="宋体" w:eastAsia="宋体" w:cs="宋体"/>
          <w:color w:val="auto"/>
          <w:sz w:val="24"/>
          <w:szCs w:val="24"/>
          <w:highlight w:val="none"/>
        </w:rPr>
        <w:t>负责答复。</w:t>
      </w:r>
    </w:p>
    <w:p w14:paraId="08878857">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val="en-US" w:eastAsia="zh-CN"/>
        </w:rPr>
        <w:t>采购</w:t>
      </w:r>
      <w:r>
        <w:rPr>
          <w:rFonts w:hint="eastAsia" w:ascii="宋体" w:hAnsi="宋体" w:cs="宋体"/>
          <w:sz w:val="24"/>
        </w:rPr>
        <w:t>代理公司</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val="en-US" w:eastAsia="zh-CN"/>
        </w:rPr>
        <w:t>采购</w:t>
      </w:r>
      <w:r>
        <w:rPr>
          <w:rFonts w:hint="eastAsia" w:ascii="宋体" w:hAnsi="宋体" w:cs="宋体"/>
          <w:sz w:val="24"/>
        </w:rPr>
        <w:t>代理公司</w:t>
      </w:r>
      <w:r>
        <w:rPr>
          <w:rFonts w:hint="eastAsia" w:ascii="宋体" w:hAnsi="宋体" w:eastAsia="宋体" w:cs="宋体"/>
          <w:color w:val="auto"/>
          <w:sz w:val="24"/>
          <w:szCs w:val="24"/>
          <w:highlight w:val="none"/>
        </w:rPr>
        <w:t>不接受未填写快递运单的快件。</w:t>
      </w:r>
    </w:p>
    <w:p w14:paraId="446756B2">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6"/>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sz w:val="24"/>
          <w:lang w:val="en-US"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6"/>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6"/>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6"/>
        <w:keepNext/>
        <w:keepLines/>
        <w:spacing w:before="145" w:beforeAutospacing="0" w:after="145" w:afterAutospacing="0" w:line="360" w:lineRule="auto"/>
        <w:jc w:val="both"/>
        <w:rPr>
          <w:rFonts w:hint="eastAsia" w:ascii="宋体" w:hAnsi="宋体" w:eastAsia="宋体" w:cs="宋体"/>
          <w:color w:val="auto"/>
          <w:sz w:val="24"/>
          <w:szCs w:val="24"/>
          <w:highlight w:val="none"/>
        </w:rPr>
      </w:pPr>
      <w:bookmarkStart w:id="146" w:name="_Toc16938552"/>
      <w:bookmarkStart w:id="147" w:name="_Toc513029236"/>
      <w:bookmarkStart w:id="148" w:name="_Toc20823308"/>
      <w:bookmarkStart w:id="149" w:name="_Toc120614220"/>
      <w:r>
        <w:rPr>
          <w:rFonts w:hint="eastAsia" w:ascii="宋体" w:hAnsi="宋体" w:eastAsia="宋体" w:cs="宋体"/>
          <w:b/>
          <w:color w:val="auto"/>
          <w:sz w:val="24"/>
          <w:szCs w:val="24"/>
          <w:highlight w:val="none"/>
        </w:rPr>
        <w:t>七、授予合同</w:t>
      </w:r>
      <w:bookmarkEnd w:id="146"/>
      <w:bookmarkEnd w:id="147"/>
      <w:bookmarkEnd w:id="148"/>
      <w:bookmarkEnd w:id="149"/>
    </w:p>
    <w:p w14:paraId="51383173">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bookmarkStart w:id="150" w:name="_Toc20823309"/>
      <w:bookmarkStart w:id="151" w:name="_Toc513029237"/>
      <w:bookmarkStart w:id="152" w:name="_Toc16938553"/>
      <w:r>
        <w:rPr>
          <w:rFonts w:hint="eastAsia" w:ascii="宋体" w:hAnsi="宋体" w:eastAsia="宋体" w:cs="宋体"/>
          <w:color w:val="auto"/>
          <w:sz w:val="24"/>
          <w:szCs w:val="24"/>
          <w:highlight w:val="none"/>
        </w:rPr>
        <w:t>31.签订合同</w:t>
      </w:r>
      <w:bookmarkEnd w:id="150"/>
      <w:bookmarkEnd w:id="151"/>
      <w:bookmarkEnd w:id="152"/>
    </w:p>
    <w:p w14:paraId="42109015">
      <w:pPr>
        <w:pStyle w:val="16"/>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w:t>
      </w:r>
      <w:r>
        <w:rPr>
          <w:rFonts w:hint="eastAsia" w:ascii="宋体" w:hAnsi="宋体" w:eastAsia="宋体" w:cs="宋体"/>
          <w:b/>
          <w:bCs/>
          <w:color w:val="auto"/>
          <w:sz w:val="24"/>
          <w:szCs w:val="24"/>
          <w:highlight w:val="none"/>
        </w:rPr>
        <w:t>三十日</w:t>
      </w:r>
      <w:r>
        <w:rPr>
          <w:rFonts w:hint="eastAsia" w:ascii="宋体" w:hAnsi="宋体" w:eastAsia="宋体" w:cs="宋体"/>
          <w:color w:val="auto"/>
          <w:sz w:val="24"/>
          <w:szCs w:val="24"/>
          <w:highlight w:val="none"/>
        </w:rPr>
        <w:t>内，按照磋商文件确定的事项与采购人签订政府采购合同。</w:t>
      </w:r>
    </w:p>
    <w:p w14:paraId="7859BE61">
      <w:pPr>
        <w:pStyle w:val="16"/>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6"/>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6"/>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left="474" w:leftChars="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6"/>
        <w:keepNext/>
        <w:keepLines/>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6"/>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spacing w:line="480" w:lineRule="exact"/>
        <w:ind w:firstLine="480"/>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.3.1中小企业定义：</w:t>
      </w:r>
    </w:p>
    <w:p w14:paraId="4C9CBD8E">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78"/>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w:t>
      </w:r>
    </w:p>
    <w:p w14:paraId="57947BB5">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33.8履约保证金政策</w:t>
      </w:r>
    </w:p>
    <w:p w14:paraId="40F02B3A">
      <w:pPr>
        <w:pStyle w:val="25"/>
        <w:keepNext w:val="0"/>
        <w:keepLines w:val="0"/>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184C23EE">
      <w:pPr>
        <w:keepNext w:val="0"/>
        <w:keepLines w:val="0"/>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kern w:val="0"/>
          <w:sz w:val="24"/>
          <w:szCs w:val="24"/>
          <w:highlight w:val="none"/>
          <w:u w:val="single"/>
          <w:shd w:val="clear" w:color="auto" w:fill="auto"/>
          <w:lang w:val="en-US" w:eastAsia="zh-CN" w:bidi="ar-SA"/>
        </w:rPr>
        <w:t>30%</w:t>
      </w:r>
      <w:r>
        <w:rPr>
          <w:rFonts w:hint="eastAsia" w:ascii="宋体" w:hAnsi="宋体" w:eastAsia="宋体" w:cs="宋体"/>
          <w:color w:val="auto"/>
          <w:kern w:val="0"/>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p>
    <w:p w14:paraId="53289C7D">
      <w:pPr>
        <w:pStyle w:val="25"/>
        <w:keepNext w:val="0"/>
        <w:keepLines w:val="0"/>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p>
    <w:p w14:paraId="7C8A780D">
      <w:pPr>
        <w:pStyle w:val="16"/>
        <w:spacing w:beforeAutospacing="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w:t>
      </w:r>
    </w:p>
    <w:p w14:paraId="11832DB3">
      <w:pPr>
        <w:pStyle w:val="16"/>
        <w:keepNext/>
        <w:spacing w:beforeAutospacing="0" w:afterAutospacing="0"/>
        <w:ind w:firstLine="2640"/>
        <w:jc w:val="both"/>
        <w:rPr>
          <w:color w:val="auto"/>
          <w:sz w:val="24"/>
          <w:szCs w:val="24"/>
          <w:highlight w:val="none"/>
        </w:rPr>
      </w:pPr>
      <w:r>
        <w:rPr>
          <w:rFonts w:hint="eastAsia" w:ascii="黑体" w:hAnsi="宋体" w:eastAsia="黑体" w:cs="黑体"/>
          <w:color w:val="auto"/>
          <w:sz w:val="44"/>
          <w:szCs w:val="44"/>
          <w:highlight w:val="none"/>
        </w:rPr>
        <w:t>第三章  合同文本</w:t>
      </w:r>
    </w:p>
    <w:p w14:paraId="47EFF93A">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sz w:val="24"/>
          <w:szCs w:val="24"/>
          <w:highlight w:val="none"/>
        </w:rPr>
      </w:pPr>
      <w:bookmarkStart w:id="153" w:name="_Toc16938559"/>
      <w:bookmarkStart w:id="154" w:name="_Toc20823315"/>
      <w:bookmarkStart w:id="155" w:name="_Toc513029243"/>
      <w:r>
        <w:rPr>
          <w:rFonts w:hint="eastAsia" w:ascii="宋体" w:hAnsi="宋体" w:eastAsia="宋体" w:cs="宋体"/>
          <w:color w:val="auto"/>
          <w:sz w:val="24"/>
          <w:szCs w:val="24"/>
          <w:highlight w:val="none"/>
        </w:rPr>
        <w:t>以下为成交后</w:t>
      </w:r>
      <w:r>
        <w:rPr>
          <w:rFonts w:hint="eastAsia" w:ascii="宋体" w:hAnsi="宋体" w:eastAsia="宋体" w:cs="宋体"/>
          <w:color w:val="auto"/>
          <w:sz w:val="24"/>
          <w:szCs w:val="24"/>
          <w:highlight w:val="none"/>
          <w:lang w:eastAsia="zh-CN"/>
        </w:rPr>
        <w:t>签订</w:t>
      </w:r>
      <w:r>
        <w:rPr>
          <w:rFonts w:hint="eastAsia" w:ascii="宋体" w:hAnsi="宋体" w:eastAsia="宋体" w:cs="宋体"/>
          <w:color w:val="auto"/>
          <w:sz w:val="24"/>
          <w:szCs w:val="24"/>
          <w:highlight w:val="none"/>
        </w:rPr>
        <w:t>本项目合同的通用条款，成交供应商不得提出实质性的修改。</w:t>
      </w:r>
      <w:bookmarkEnd w:id="153"/>
      <w:bookmarkEnd w:id="154"/>
      <w:bookmarkEnd w:id="155"/>
    </w:p>
    <w:p w14:paraId="315F4F00">
      <w:pPr>
        <w:pStyle w:val="16"/>
        <w:spacing w:before="145" w:beforeAutospacing="0" w:after="145" w:afterAutospacing="0"/>
        <w:jc w:val="center"/>
        <w:rPr>
          <w:color w:val="auto"/>
          <w:sz w:val="24"/>
          <w:szCs w:val="24"/>
          <w:highlight w:val="none"/>
        </w:rPr>
      </w:pPr>
      <w:r>
        <w:rPr>
          <w:rFonts w:hint="eastAsia" w:ascii="宋体" w:hAnsi="宋体" w:eastAsia="宋体" w:cs="宋体"/>
          <w:b/>
          <w:color w:val="auto"/>
          <w:sz w:val="28"/>
          <w:szCs w:val="28"/>
          <w:highlight w:val="none"/>
        </w:rPr>
        <w:t>盐城市政府采购合同（合同编号）</w:t>
      </w:r>
    </w:p>
    <w:p w14:paraId="0CF4592E">
      <w:pPr>
        <w:pStyle w:val="16"/>
        <w:spacing w:before="120" w:beforeAutospacing="0" w:after="120" w:afterAutospacing="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w:t>
      </w:r>
    </w:p>
    <w:p w14:paraId="704F2DA0">
      <w:pPr>
        <w:pStyle w:val="16"/>
        <w:spacing w:before="120" w:beforeAutospacing="0" w:after="120" w:afterAutospacing="0"/>
        <w:jc w:val="both"/>
        <w:rPr>
          <w:color w:val="auto"/>
          <w:sz w:val="24"/>
          <w:szCs w:val="24"/>
          <w:highlight w:val="none"/>
        </w:rPr>
      </w:pPr>
      <w:r>
        <w:rPr>
          <w:rFonts w:hint="eastAsia" w:ascii="宋体" w:hAnsi="宋体" w:eastAsia="宋体" w:cs="宋体"/>
          <w:color w:val="auto"/>
          <w:sz w:val="24"/>
          <w:szCs w:val="24"/>
          <w:highlight w:val="none"/>
        </w:rPr>
        <w:t>项目编号：</w:t>
      </w:r>
    </w:p>
    <w:p w14:paraId="5A3529E3">
      <w:pPr>
        <w:pStyle w:val="16"/>
        <w:spacing w:before="120" w:beforeAutospacing="0" w:after="120" w:afterAutospacing="0"/>
        <w:jc w:val="both"/>
        <w:rPr>
          <w:color w:val="auto"/>
          <w:sz w:val="24"/>
          <w:szCs w:val="24"/>
          <w:highlight w:val="none"/>
        </w:rPr>
      </w:pPr>
      <w:r>
        <w:rPr>
          <w:rFonts w:hint="eastAsia" w:ascii="宋体" w:hAnsi="宋体" w:eastAsia="宋体" w:cs="宋体"/>
          <w:color w:val="auto"/>
          <w:sz w:val="24"/>
          <w:szCs w:val="24"/>
          <w:highlight w:val="none"/>
        </w:rPr>
        <w:t>甲方：（买方）_________</w:t>
      </w:r>
    </w:p>
    <w:p w14:paraId="14C685ED">
      <w:pPr>
        <w:pStyle w:val="16"/>
        <w:spacing w:before="120" w:beforeAutospacing="0" w:after="120" w:afterAutospacing="0"/>
        <w:jc w:val="both"/>
        <w:rPr>
          <w:color w:val="auto"/>
          <w:sz w:val="24"/>
          <w:szCs w:val="24"/>
          <w:highlight w:val="none"/>
        </w:rPr>
      </w:pPr>
      <w:r>
        <w:rPr>
          <w:rFonts w:hint="eastAsia" w:ascii="宋体" w:hAnsi="宋体" w:eastAsia="宋体" w:cs="宋体"/>
          <w:color w:val="auto"/>
          <w:sz w:val="24"/>
          <w:szCs w:val="24"/>
          <w:highlight w:val="none"/>
        </w:rPr>
        <w:t>乙方：（卖方）_________</w:t>
      </w:r>
    </w:p>
    <w:p w14:paraId="4A02A028">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ascii="宋体" w:hAnsi="宋体"/>
          <w:sz w:val="24"/>
        </w:rPr>
        <w:t>《中华人民共和国政府采购法》、《中华人民共和国</w:t>
      </w:r>
      <w:r>
        <w:rPr>
          <w:rFonts w:hint="eastAsia" w:ascii="宋体" w:hAnsi="宋体"/>
          <w:sz w:val="24"/>
        </w:rPr>
        <w:t>民法典</w:t>
      </w:r>
      <w:r>
        <w:rPr>
          <w:rFonts w:ascii="宋体" w:hAnsi="宋体"/>
          <w:sz w:val="24"/>
        </w:rPr>
        <w:t>》等法律法规的规定</w:t>
      </w:r>
      <w:r>
        <w:rPr>
          <w:rFonts w:hint="eastAsia" w:ascii="宋体" w:hAnsi="宋体"/>
          <w:sz w:val="24"/>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项目竞争性磋商的结果，签署本合同。</w:t>
      </w:r>
    </w:p>
    <w:p w14:paraId="3BCC206F">
      <w:pPr>
        <w:autoSpaceDE w:val="0"/>
        <w:autoSpaceDN w:val="0"/>
        <w:adjustRightInd w:val="0"/>
        <w:snapToGrid w:val="0"/>
        <w:spacing w:line="480" w:lineRule="exact"/>
        <w:ind w:firstLine="482" w:firstLineChars="200"/>
        <w:rPr>
          <w:rFonts w:ascii="宋体" w:hAnsi="宋体" w:cs="宋体"/>
          <w:b/>
          <w:bCs/>
          <w:sz w:val="24"/>
        </w:rPr>
      </w:pPr>
      <w:r>
        <w:rPr>
          <w:rFonts w:hint="eastAsia" w:ascii="宋体" w:hAnsi="宋体" w:eastAsia="宋体" w:cs="宋体"/>
          <w:b/>
          <w:color w:val="auto"/>
          <w:sz w:val="24"/>
          <w:szCs w:val="24"/>
          <w:highlight w:val="none"/>
        </w:rPr>
        <w:t>一、</w:t>
      </w:r>
      <w:r>
        <w:rPr>
          <w:rFonts w:hint="eastAsia" w:ascii="宋体" w:hAnsi="宋体" w:cs="宋体"/>
          <w:b/>
          <w:bCs/>
          <w:sz w:val="24"/>
        </w:rPr>
        <w:t>服务内容、服务期、质量要求、技术标准及售后服务</w:t>
      </w:r>
    </w:p>
    <w:p w14:paraId="210503AA">
      <w:pPr>
        <w:spacing w:line="460" w:lineRule="exact"/>
        <w:ind w:firstLine="480"/>
        <w:rPr>
          <w:rFonts w:ascii="宋体" w:hAnsi="宋体"/>
          <w:bCs/>
          <w:sz w:val="24"/>
        </w:rPr>
      </w:pPr>
      <w:r>
        <w:rPr>
          <w:rFonts w:hint="eastAsia" w:ascii="宋体" w:hAnsi="宋体"/>
          <w:sz w:val="24"/>
          <w:lang w:val="en-US" w:eastAsia="zh-CN"/>
        </w:rPr>
        <w:t>1.</w:t>
      </w:r>
      <w:r>
        <w:rPr>
          <w:rFonts w:hint="eastAsia" w:ascii="宋体" w:hAnsi="宋体"/>
          <w:sz w:val="24"/>
        </w:rPr>
        <w:t>1服务内容：对</w:t>
      </w:r>
      <w:r>
        <w:rPr>
          <w:rFonts w:hint="eastAsia" w:ascii="宋体" w:hAnsi="宋体"/>
          <w:bCs/>
          <w:sz w:val="24"/>
        </w:rPr>
        <w:t>辖区内所有农贸市场提供约</w:t>
      </w:r>
      <w:r>
        <w:rPr>
          <w:rFonts w:hint="eastAsia" w:ascii="宋体" w:hAnsi="宋体" w:eastAsia="宋体" w:cs="宋体"/>
          <w:i w:val="0"/>
          <w:iCs w:val="0"/>
          <w:color w:val="000000"/>
          <w:kern w:val="0"/>
          <w:sz w:val="24"/>
          <w:szCs w:val="24"/>
          <w:highlight w:val="none"/>
          <w:u w:val="none"/>
          <w:lang w:val="en-US" w:eastAsia="zh-CN" w:bidi="ar"/>
        </w:rPr>
        <w:t>143000</w:t>
      </w:r>
      <w:r>
        <w:rPr>
          <w:rFonts w:hint="eastAsia" w:ascii="宋体" w:hAnsi="宋体" w:cs="宋体"/>
          <w:sz w:val="24"/>
          <w:highlight w:val="none"/>
        </w:rPr>
        <w:t>批</w:t>
      </w:r>
      <w:r>
        <w:rPr>
          <w:rFonts w:hint="eastAsia" w:ascii="宋体" w:hAnsi="宋体"/>
          <w:bCs/>
          <w:sz w:val="24"/>
          <w:highlight w:val="none"/>
        </w:rPr>
        <w:t>次“七鱼三菜两蛋（七鱼：鳊鱼、鲫鱼、黄鳝、牛蛙、泥鳅、大口黑鲈、乌鳢；三菜：豇豆、芹菜、辣椒；两蛋：鹌鹑蛋、鸡蛋）”及果蔬畜禽肉等专项快检服务（其中七鱼三菜两蛋及畜禽肉为胶体金检测，果蔬类为比色检测法）。</w:t>
      </w:r>
      <w:r>
        <w:rPr>
          <w:rFonts w:hint="eastAsia" w:ascii="宋体" w:hAnsi="宋体" w:cs="宋体"/>
          <w:sz w:val="24"/>
          <w:highlight w:val="none"/>
        </w:rPr>
        <w:t>每个包约</w:t>
      </w:r>
      <w:r>
        <w:rPr>
          <w:rFonts w:hint="eastAsia" w:ascii="宋体" w:hAnsi="宋体" w:eastAsia="宋体" w:cs="宋体"/>
          <w:i w:val="0"/>
          <w:iCs w:val="0"/>
          <w:color w:val="000000"/>
          <w:kern w:val="0"/>
          <w:sz w:val="24"/>
          <w:szCs w:val="24"/>
          <w:highlight w:val="none"/>
          <w:u w:val="none"/>
          <w:lang w:val="en-US" w:eastAsia="zh-CN" w:bidi="ar"/>
        </w:rPr>
        <w:t>71500</w:t>
      </w:r>
      <w:r>
        <w:rPr>
          <w:rFonts w:hint="eastAsia" w:ascii="宋体" w:hAnsi="宋体" w:cs="宋体"/>
          <w:sz w:val="24"/>
          <w:highlight w:val="none"/>
        </w:rPr>
        <w:t>批次，</w:t>
      </w:r>
      <w:r>
        <w:rPr>
          <w:rFonts w:hint="eastAsia" w:ascii="宋体" w:hAnsi="宋体" w:cs="宋体"/>
          <w:color w:val="000000"/>
          <w:sz w:val="24"/>
          <w:highlight w:val="none"/>
          <w:lang w:val="en-US" w:eastAsia="zh-CN"/>
        </w:rPr>
        <w:t>采购人可根据实际情况调整分配农贸市场</w:t>
      </w:r>
      <w:r>
        <w:rPr>
          <w:rFonts w:hint="eastAsia" w:ascii="宋体" w:hAnsi="宋体" w:eastAsia="宋体" w:cs="宋体"/>
          <w:color w:val="000000"/>
          <w:sz w:val="24"/>
          <w:highlight w:val="none"/>
          <w:lang w:val="en-US" w:eastAsia="zh-CN"/>
        </w:rPr>
        <w:t>。</w:t>
      </w:r>
      <w:r>
        <w:rPr>
          <w:rFonts w:hint="eastAsia" w:ascii="宋体" w:hAnsi="宋体" w:cs="宋体"/>
          <w:sz w:val="24"/>
        </w:rPr>
        <w:t>项目包</w:t>
      </w:r>
      <w:r>
        <w:rPr>
          <w:rFonts w:hint="eastAsia" w:ascii="宋体" w:hAnsi="宋体"/>
          <w:bCs/>
          <w:sz w:val="24"/>
        </w:rPr>
        <w:t>含每个检测室的日常运营、检测工具设备投入、采样费用、检测耗材费用、检测试剂费用、检测人员工资、检测数据公示、检测数据传输与储存等，所有检测数据信息归采购方所有，不得外传并需为采购方保存检测数据至少2年；具体详见项目需求。</w:t>
      </w:r>
    </w:p>
    <w:p w14:paraId="586A5338">
      <w:pPr>
        <w:spacing w:line="500" w:lineRule="exact"/>
        <w:ind w:firstLine="480"/>
        <w:rPr>
          <w:rFonts w:ascii="宋体" w:hAnsi="宋体" w:cs="宋体"/>
          <w:sz w:val="24"/>
        </w:rPr>
      </w:pPr>
      <w:r>
        <w:rPr>
          <w:rFonts w:hint="eastAsia" w:ascii="宋体" w:hAnsi="宋体" w:cs="宋体"/>
          <w:sz w:val="24"/>
          <w:lang w:val="en-US" w:eastAsia="zh-CN"/>
        </w:rPr>
        <w:t>1.2</w:t>
      </w:r>
      <w:r>
        <w:rPr>
          <w:rFonts w:hint="eastAsia" w:ascii="宋体" w:hAnsi="宋体" w:cs="宋体"/>
          <w:sz w:val="24"/>
        </w:rPr>
        <w:t>服务期：服务期自本合同签订之日起52周内完成。</w:t>
      </w:r>
    </w:p>
    <w:p w14:paraId="0207699C">
      <w:pPr>
        <w:spacing w:line="500" w:lineRule="exact"/>
        <w:ind w:firstLine="480"/>
        <w:rPr>
          <w:rFonts w:ascii="宋体" w:hAnsi="宋体" w:cs="宋体"/>
          <w:sz w:val="24"/>
        </w:rPr>
      </w:pPr>
      <w:r>
        <w:rPr>
          <w:rFonts w:hint="eastAsia" w:ascii="宋体" w:hAnsi="宋体" w:cs="宋体"/>
          <w:sz w:val="24"/>
          <w:lang w:val="en-US" w:eastAsia="zh-CN"/>
        </w:rPr>
        <w:t>1.3</w:t>
      </w:r>
      <w:r>
        <w:rPr>
          <w:rFonts w:hint="eastAsia" w:ascii="宋体" w:hAnsi="宋体" w:cs="宋体"/>
          <w:sz w:val="24"/>
        </w:rPr>
        <w:t>抽样时间：按照甲方实际需求确定时间。</w:t>
      </w:r>
    </w:p>
    <w:p w14:paraId="716B261D">
      <w:pPr>
        <w:spacing w:line="460" w:lineRule="exact"/>
        <w:ind w:firstLine="480"/>
        <w:rPr>
          <w:rFonts w:ascii="宋体" w:hAnsi="宋体"/>
          <w:sz w:val="24"/>
        </w:rPr>
      </w:pPr>
      <w:r>
        <w:rPr>
          <w:rFonts w:hint="eastAsia" w:ascii="宋体" w:hAnsi="宋体" w:cs="宋体"/>
          <w:sz w:val="24"/>
          <w:lang w:val="en-US" w:eastAsia="zh-CN"/>
        </w:rPr>
        <w:t>1.4</w:t>
      </w:r>
      <w:r>
        <w:rPr>
          <w:rFonts w:hint="eastAsia" w:ascii="宋体" w:hAnsi="宋体" w:cs="宋体"/>
          <w:sz w:val="24"/>
        </w:rPr>
        <w:t>质量标准：</w:t>
      </w:r>
      <w:r>
        <w:rPr>
          <w:rFonts w:hint="eastAsia" w:ascii="宋体" w:hAnsi="宋体"/>
          <w:sz w:val="24"/>
        </w:rPr>
        <w:t>符合国家现行的规范和标准并达到甲方要求，成果资料真实、及时、可靠。</w:t>
      </w:r>
    </w:p>
    <w:p w14:paraId="36A21954">
      <w:pPr>
        <w:pStyle w:val="16"/>
        <w:widowControl w:val="0"/>
        <w:spacing w:before="0" w:beforeAutospacing="0" w:after="0" w:afterAutospacing="0" w:line="460" w:lineRule="exact"/>
        <w:ind w:firstLine="480"/>
        <w:rPr>
          <w:b/>
          <w:bCs/>
        </w:rPr>
      </w:pPr>
      <w:r>
        <w:rPr>
          <w:rFonts w:hint="eastAsia" w:cs="Times New Roman"/>
          <w:bCs/>
        </w:rPr>
        <w:t>乙方必须严格按照快速检测方法和技术标准进行检测，没有相关标准的，按照甲方的具体需求实施。承诺使用的试剂及辅助材料满足快速检测设备需要及相关技术标准要求，确保结果可靠；国家颁布新的快检标准后，应保证所使用的试剂符合新的快检标准。对于出现误差率较高的农产品、食品品种和检测项目及时检讨并上报。甲方可不定期抽查所用快速检测设备和耗材质量，因乙方使用不合格试剂等耗材造成的不良后果，由乙方负责。</w:t>
      </w:r>
    </w:p>
    <w:p w14:paraId="03B28090">
      <w:pPr>
        <w:spacing w:line="460" w:lineRule="exact"/>
        <w:ind w:firstLine="480"/>
        <w:rPr>
          <w:rFonts w:ascii="宋体" w:hAnsi="宋体" w:cs="宋体"/>
          <w:sz w:val="24"/>
        </w:rPr>
      </w:pPr>
      <w:r>
        <w:rPr>
          <w:rFonts w:hint="eastAsia" w:ascii="宋体" w:hAnsi="宋体" w:cs="宋体"/>
          <w:sz w:val="24"/>
          <w:lang w:val="en-US" w:eastAsia="zh-CN"/>
        </w:rPr>
        <w:t>1.5</w:t>
      </w:r>
      <w:r>
        <w:rPr>
          <w:rFonts w:hint="eastAsia" w:ascii="宋体" w:hAnsi="宋体" w:cs="宋体"/>
          <w:sz w:val="24"/>
        </w:rPr>
        <w:t>服务地点：由乙方选址，甲方同意之后，乙方集中进行检测</w:t>
      </w:r>
      <w:r>
        <w:rPr>
          <w:rFonts w:hint="eastAsia" w:ascii="宋体" w:hAnsi="宋体"/>
          <w:sz w:val="24"/>
        </w:rPr>
        <w:t>。</w:t>
      </w:r>
    </w:p>
    <w:p w14:paraId="2983AA66">
      <w:pPr>
        <w:autoSpaceDE w:val="0"/>
        <w:autoSpaceDN w:val="0"/>
        <w:adjustRightInd w:val="0"/>
        <w:snapToGrid w:val="0"/>
        <w:spacing w:line="480" w:lineRule="exact"/>
        <w:ind w:firstLine="480" w:firstLineChars="200"/>
        <w:rPr>
          <w:color w:val="auto"/>
          <w:sz w:val="24"/>
          <w:szCs w:val="24"/>
          <w:highlight w:val="none"/>
        </w:rPr>
      </w:pPr>
      <w:r>
        <w:rPr>
          <w:rFonts w:hint="eastAsia" w:ascii="宋体" w:hAnsi="宋体" w:cs="宋体"/>
          <w:sz w:val="24"/>
          <w:lang w:val="en-US" w:eastAsia="zh-CN"/>
        </w:rPr>
        <w:t>1.6</w:t>
      </w:r>
      <w:r>
        <w:rPr>
          <w:rFonts w:hint="eastAsia" w:ascii="宋体" w:hAnsi="宋体" w:cs="宋体"/>
          <w:sz w:val="24"/>
        </w:rPr>
        <w:t>抽样人员：抽样人员不少于5人，检测人员不少于10人</w:t>
      </w:r>
      <w:r>
        <w:rPr>
          <w:rFonts w:hint="eastAsia" w:ascii="宋体" w:hAnsi="宋体" w:cs="宋体"/>
          <w:sz w:val="24"/>
          <w:lang w:eastAsia="zh-CN"/>
        </w:rPr>
        <w:t>，</w:t>
      </w:r>
      <w:r>
        <w:rPr>
          <w:rFonts w:hint="eastAsia" w:ascii="宋体" w:hAnsi="宋体" w:cs="宋体"/>
          <w:sz w:val="24"/>
          <w:lang w:val="en-US" w:eastAsia="zh-CN"/>
        </w:rPr>
        <w:t>总人数不少于15人</w:t>
      </w:r>
      <w:r>
        <w:rPr>
          <w:rFonts w:hint="eastAsia" w:ascii="宋体" w:hAnsi="宋体" w:cs="宋体"/>
          <w:sz w:val="24"/>
        </w:rPr>
        <w:t>。</w:t>
      </w:r>
    </w:p>
    <w:p w14:paraId="193CB4A3">
      <w:pPr>
        <w:pStyle w:val="16"/>
        <w:numPr>
          <w:ilvl w:val="0"/>
          <w:numId w:val="1"/>
        </w:numPr>
        <w:spacing w:before="120" w:beforeAutospacing="0" w:after="120" w:afterAutospacing="0"/>
        <w:ind w:firstLine="482" w:firstLineChars="20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3FA0E98F">
      <w:pPr>
        <w:pStyle w:val="16"/>
        <w:numPr>
          <w:ilvl w:val="0"/>
          <w:numId w:val="0"/>
        </w:numPr>
        <w:spacing w:before="120" w:beforeAutospacing="0" w:after="120" w:afterAutospacing="0"/>
        <w:ind w:firstLine="480" w:firstLineChars="200"/>
        <w:jc w:val="both"/>
        <w:rPr>
          <w:rFonts w:ascii="宋体" w:hAnsi="宋体" w:cs="宋体"/>
          <w:sz w:val="24"/>
        </w:rPr>
      </w:pPr>
      <w:r>
        <w:rPr>
          <w:rFonts w:hint="eastAsia" w:ascii="宋体" w:hAnsi="宋体" w:cs="宋体"/>
          <w:sz w:val="24"/>
          <w:lang w:val="en-US" w:eastAsia="zh-CN"/>
        </w:rPr>
        <w:t>2.1</w:t>
      </w:r>
      <w:r>
        <w:rPr>
          <w:rFonts w:hint="eastAsia" w:ascii="宋体" w:hAnsi="宋体" w:cs="宋体"/>
          <w:sz w:val="24"/>
        </w:rPr>
        <w:t>本项目合同价款为包（</w:t>
      </w:r>
      <w:r>
        <w:rPr>
          <w:rFonts w:hint="eastAsia" w:ascii="宋体" w:hAnsi="宋体" w:cs="宋体"/>
          <w:sz w:val="24"/>
          <w:u w:val="single"/>
        </w:rPr>
        <w:t xml:space="preserve">     </w:t>
      </w:r>
      <w:r>
        <w:rPr>
          <w:rFonts w:hint="eastAsia" w:ascii="宋体" w:hAnsi="宋体" w:cs="宋体"/>
          <w:sz w:val="24"/>
        </w:rPr>
        <w:t>）抽检批次：</w:t>
      </w:r>
      <w:r>
        <w:rPr>
          <w:rFonts w:hint="eastAsia" w:ascii="宋体" w:hAnsi="宋体" w:eastAsia="宋体" w:cs="宋体"/>
          <w:b/>
          <w:bCs/>
          <w:i w:val="0"/>
          <w:iCs w:val="0"/>
          <w:color w:val="000000"/>
          <w:kern w:val="0"/>
          <w:sz w:val="24"/>
          <w:szCs w:val="24"/>
          <w:highlight w:val="none"/>
          <w:u w:val="none"/>
          <w:lang w:val="en-US" w:eastAsia="zh-CN" w:bidi="ar"/>
        </w:rPr>
        <w:t>71500</w:t>
      </w:r>
      <w:r>
        <w:rPr>
          <w:rFonts w:hint="eastAsia" w:ascii="宋体" w:hAnsi="宋体" w:cs="宋体"/>
          <w:b/>
          <w:bCs/>
          <w:sz w:val="24"/>
        </w:rPr>
        <w:t>批次</w:t>
      </w:r>
      <w:r>
        <w:rPr>
          <w:rFonts w:hint="eastAsia" w:ascii="宋体" w:hAnsi="宋体" w:cs="宋体"/>
          <w:sz w:val="24"/>
        </w:rPr>
        <w:t>，</w:t>
      </w:r>
      <w:r>
        <w:rPr>
          <w:rFonts w:hint="eastAsia" w:ascii="宋体" w:hAnsi="宋体" w:cs="宋体"/>
          <w:b/>
          <w:bCs/>
          <w:sz w:val="24"/>
        </w:rPr>
        <w:t>中标单价为</w:t>
      </w:r>
      <w:r>
        <w:rPr>
          <w:rFonts w:hint="eastAsia" w:ascii="宋体" w:hAnsi="宋体" w:cs="宋体"/>
          <w:b/>
          <w:sz w:val="24"/>
        </w:rPr>
        <w:t>人民币</w:t>
      </w:r>
      <w:r>
        <w:rPr>
          <w:rFonts w:hint="eastAsia" w:ascii="宋体" w:hAnsi="宋体" w:cs="宋体"/>
          <w:b/>
          <w:sz w:val="24"/>
          <w:u w:val="single"/>
        </w:rPr>
        <w:t xml:space="preserve">     </w:t>
      </w:r>
      <w:r>
        <w:rPr>
          <w:rFonts w:hint="eastAsia" w:ascii="宋体" w:hAnsi="宋体" w:cs="宋体"/>
          <w:b/>
          <w:sz w:val="24"/>
        </w:rPr>
        <w:t>元/批次，合同总价为人民币：大写</w:t>
      </w:r>
      <w:r>
        <w:rPr>
          <w:rFonts w:hint="eastAsia" w:ascii="宋体" w:hAnsi="宋体" w:cs="宋体"/>
          <w:b/>
          <w:sz w:val="24"/>
          <w:u w:val="single"/>
        </w:rPr>
        <w:t xml:space="preserve">       </w:t>
      </w:r>
      <w:r>
        <w:rPr>
          <w:rFonts w:hint="eastAsia" w:ascii="宋体" w:hAnsi="宋体" w:cs="宋体"/>
          <w:b/>
          <w:sz w:val="24"/>
        </w:rPr>
        <w:t xml:space="preserve">（¥ </w:t>
      </w:r>
      <w:r>
        <w:rPr>
          <w:rFonts w:hint="eastAsia" w:ascii="宋体" w:hAnsi="宋体" w:cs="宋体"/>
          <w:b/>
          <w:sz w:val="24"/>
          <w:u w:val="single"/>
        </w:rPr>
        <w:t xml:space="preserve">       元</w:t>
      </w:r>
      <w:r>
        <w:rPr>
          <w:rFonts w:hint="eastAsia" w:ascii="宋体" w:hAnsi="宋体" w:cs="宋体"/>
          <w:b/>
          <w:sz w:val="24"/>
        </w:rPr>
        <w:t>）。</w:t>
      </w:r>
    </w:p>
    <w:p w14:paraId="1B2CD99C">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2.2</w:t>
      </w:r>
      <w:r>
        <w:rPr>
          <w:rFonts w:hint="eastAsia" w:ascii="宋体" w:hAnsi="宋体" w:cs="宋体"/>
          <w:sz w:val="24"/>
        </w:rPr>
        <w:t>投标单价不随市场和国家政策性文件调整而调整；甲方保留增加或减少检测数量的权利，乙方不得因数量调整向甲方索赔任何费用。</w:t>
      </w:r>
    </w:p>
    <w:p w14:paraId="22A4F42A">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2.3</w:t>
      </w:r>
      <w:r>
        <w:rPr>
          <w:rFonts w:hint="eastAsia" w:ascii="宋体" w:hAnsi="宋体" w:cs="宋体"/>
          <w:sz w:val="24"/>
        </w:rPr>
        <w:t>在本合同约定总批次范围内,甲方有权调整具体检测环节、检测品种、检测项目。</w:t>
      </w:r>
    </w:p>
    <w:p w14:paraId="2D37B578">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2.4</w:t>
      </w:r>
      <w:r>
        <w:rPr>
          <w:rFonts w:hAnsi="宋体"/>
          <w:sz w:val="24"/>
        </w:rPr>
        <w:t>本合同为全费用综合单价合同，</w:t>
      </w:r>
      <w:r>
        <w:rPr>
          <w:rFonts w:hint="eastAsia" w:ascii="宋体" w:hAnsi="宋体" w:cs="宋体"/>
          <w:sz w:val="24"/>
        </w:rPr>
        <w:t>合同价包括(但不限于)：人力成本、设备成本、交通运输成本、抽样买样购样费用、检测费用、出报告费用、利润、税金、招标代理服务费和不可预见费用等为完成本项目所需的全部费用的总和，甲方不再支付任何费用。</w:t>
      </w:r>
    </w:p>
    <w:p w14:paraId="4D3977A3">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2.5</w:t>
      </w:r>
      <w:r>
        <w:rPr>
          <w:rFonts w:hint="eastAsia" w:ascii="宋体" w:hAnsi="宋体" w:cs="宋体"/>
          <w:sz w:val="24"/>
        </w:rPr>
        <w:t>本项目买样购样费用由乙方负责支付，此项费用包含在合同价款中，合同实施中甲方不再支付此项费用。</w:t>
      </w:r>
    </w:p>
    <w:p w14:paraId="30AF8726">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2.6</w:t>
      </w:r>
      <w:r>
        <w:rPr>
          <w:rFonts w:hint="eastAsia" w:ascii="宋体" w:hAnsi="宋体" w:cs="宋体"/>
          <w:sz w:val="24"/>
        </w:rPr>
        <w:t>乙方在履行合同过程中</w:t>
      </w:r>
      <w:r>
        <w:rPr>
          <w:rFonts w:ascii="宋体" w:hAnsi="宋体" w:cs="宋体"/>
          <w:sz w:val="24"/>
        </w:rPr>
        <w:t>,</w:t>
      </w:r>
      <w:r>
        <w:rPr>
          <w:rFonts w:hint="eastAsia" w:ascii="宋体" w:hAnsi="宋体" w:cs="宋体"/>
          <w:sz w:val="24"/>
        </w:rPr>
        <w:t>所发生的全部生产、生活费用均由乙方自行负责。</w:t>
      </w:r>
    </w:p>
    <w:p w14:paraId="58E09BF6">
      <w:pPr>
        <w:autoSpaceDE w:val="0"/>
        <w:autoSpaceDN w:val="0"/>
        <w:adjustRightInd w:val="0"/>
        <w:snapToGrid w:val="0"/>
        <w:spacing w:line="480" w:lineRule="exact"/>
        <w:ind w:firstLine="480" w:firstLineChars="200"/>
        <w:rPr>
          <w:rFonts w:ascii="宋体" w:hAnsi="宋体" w:cs="宋体"/>
          <w:sz w:val="24"/>
        </w:rPr>
      </w:pPr>
      <w:r>
        <w:rPr>
          <w:rFonts w:hint="eastAsia" w:ascii="宋体" w:hAnsi="宋体" w:cs="宋体"/>
          <w:sz w:val="24"/>
          <w:lang w:val="en-US" w:eastAsia="zh-CN"/>
        </w:rPr>
        <w:t>2.7</w:t>
      </w:r>
      <w:r>
        <w:rPr>
          <w:rFonts w:hint="eastAsia" w:ascii="宋体" w:hAnsi="宋体" w:cs="宋体"/>
          <w:sz w:val="24"/>
        </w:rPr>
        <w:t>如乙方无法及时完成甲方下发的抽检任务或无法达到约定的检验检测要求时，应及时向甲方作出书面说明。经甲方书面同意后乙方将部分无法及时完成抽检的任务委托第三方检验检测机构完成，由乙方书面承诺第三方检验检测机构实施的食品监督抽检检测服务符合本合同相关质量要求、技术标准及售后服务的要求并承担相应违约责任，甲方以乙方报价将委托部分食品监督抽检检测服务直接与乙方进行款项结算，由乙方自行与第三方检测机构完成货款结算。</w:t>
      </w:r>
    </w:p>
    <w:p w14:paraId="77453E51">
      <w:pPr>
        <w:pStyle w:val="16"/>
        <w:spacing w:before="120" w:beforeAutospacing="0" w:after="120" w:afterAutospacing="0"/>
        <w:ind w:firstLine="482" w:firstLineChars="200"/>
        <w:jc w:val="both"/>
        <w:rPr>
          <w:color w:val="auto"/>
          <w:sz w:val="24"/>
          <w:szCs w:val="24"/>
          <w:highlight w:val="none"/>
        </w:rPr>
      </w:pPr>
      <w:r>
        <w:rPr>
          <w:rFonts w:hint="eastAsia" w:ascii="宋体" w:hAnsi="宋体" w:eastAsia="宋体" w:cs="宋体"/>
          <w:b/>
          <w:color w:val="auto"/>
          <w:sz w:val="24"/>
          <w:szCs w:val="24"/>
          <w:highlight w:val="none"/>
        </w:rPr>
        <w:t>三、技术资料</w:t>
      </w:r>
    </w:p>
    <w:p w14:paraId="2DC55BFE">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kern w:val="2"/>
          <w:sz w:val="24"/>
          <w:szCs w:val="24"/>
          <w:lang w:val="en-US" w:eastAsia="zh-CN" w:bidi="ar-SA"/>
        </w:rPr>
        <w:t>3.1</w:t>
      </w:r>
      <w:r>
        <w:rPr>
          <w:rFonts w:hint="eastAsia" w:ascii="宋体" w:hAnsi="宋体" w:cs="宋体" w:eastAsiaTheme="minorEastAsia"/>
          <w:kern w:val="2"/>
          <w:sz w:val="24"/>
          <w:szCs w:val="24"/>
          <w:lang w:val="en-US" w:eastAsia="zh-CN" w:bidi="ar-SA"/>
        </w:rPr>
        <w:t>乙方应按磋商文件规定的时间向甲方提供与合同标的有关的技术资料。</w:t>
      </w:r>
    </w:p>
    <w:p w14:paraId="0A80EBCE">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kern w:val="2"/>
          <w:sz w:val="24"/>
          <w:szCs w:val="24"/>
          <w:lang w:val="en-US" w:eastAsia="zh-CN" w:bidi="ar-SA"/>
        </w:rPr>
        <w:t>3.2</w:t>
      </w:r>
      <w:r>
        <w:rPr>
          <w:rFonts w:hint="eastAsia" w:ascii="宋体" w:hAnsi="宋体" w:cs="宋体" w:eastAsiaTheme="minorEastAsia"/>
          <w:kern w:val="2"/>
          <w:sz w:val="24"/>
          <w:szCs w:val="24"/>
          <w:lang w:val="en-US" w:eastAsia="zh-CN" w:bidi="ar-SA"/>
        </w:rPr>
        <w:t>没有甲方事先书面同意，乙方不得将由甲方提供的有关合同或任何合同条文、规格、</w:t>
      </w:r>
    </w:p>
    <w:p w14:paraId="0C06CF8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计划、图纸、样品或资料提供给与履行本合同无关的任何其他人。即使向履行本合同有关的人员提供，也应注意保密并限于履行合同的必需范围。</w:t>
      </w:r>
    </w:p>
    <w:p w14:paraId="7406E525">
      <w:pPr>
        <w:pStyle w:val="16"/>
        <w:spacing w:before="120" w:beforeAutospacing="0" w:after="120" w:afterAutospacing="0"/>
        <w:ind w:left="426" w:leftChars="203" w:firstLine="10" w:firstLineChars="4"/>
        <w:jc w:val="both"/>
        <w:rPr>
          <w:color w:val="auto"/>
          <w:sz w:val="24"/>
          <w:szCs w:val="24"/>
          <w:highlight w:val="none"/>
          <w:shd w:val="clear" w:color="auto" w:fill="auto"/>
        </w:rPr>
      </w:pPr>
      <w:r>
        <w:rPr>
          <w:rFonts w:hint="eastAsia" w:ascii="宋体" w:hAnsi="宋体" w:eastAsia="宋体" w:cs="宋体"/>
          <w:b/>
          <w:color w:val="auto"/>
          <w:sz w:val="24"/>
          <w:szCs w:val="24"/>
          <w:highlight w:val="none"/>
        </w:rPr>
        <w:t>四、知</w:t>
      </w:r>
      <w:r>
        <w:rPr>
          <w:rFonts w:hint="eastAsia" w:ascii="宋体" w:hAnsi="宋体" w:eastAsia="宋体" w:cs="宋体"/>
          <w:b/>
          <w:color w:val="auto"/>
          <w:sz w:val="24"/>
          <w:szCs w:val="24"/>
          <w:highlight w:val="none"/>
          <w:shd w:val="clear" w:color="auto" w:fill="auto"/>
        </w:rPr>
        <w:t>识产权</w:t>
      </w:r>
    </w:p>
    <w:p w14:paraId="057D69B3">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kern w:val="2"/>
          <w:sz w:val="24"/>
          <w:szCs w:val="24"/>
          <w:lang w:val="en-US" w:eastAsia="zh-CN" w:bidi="ar-SA"/>
        </w:rPr>
        <w:t>4.1</w:t>
      </w:r>
      <w:r>
        <w:rPr>
          <w:rFonts w:hint="eastAsia" w:ascii="宋体" w:hAnsi="宋体" w:cs="宋体" w:eastAsiaTheme="minorEastAsia"/>
          <w:kern w:val="2"/>
          <w:sz w:val="24"/>
          <w:szCs w:val="24"/>
          <w:lang w:val="en-US" w:eastAsia="zh-CN" w:bidi="ar-SA"/>
        </w:rPr>
        <w:t>乙方应保证甲方在使用、接受本合同标的或其任何一部分时不受第三方提出侵犯其专</w:t>
      </w:r>
    </w:p>
    <w:p w14:paraId="5BEEA98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利权、版权、商标权和工业设计权等知识产权的起诉。一旦出现侵权，</w:t>
      </w:r>
      <w:r>
        <w:rPr>
          <w:rFonts w:hint="eastAsia" w:ascii="宋体" w:hAnsi="宋体" w:cs="宋体"/>
          <w:kern w:val="2"/>
          <w:sz w:val="24"/>
          <w:szCs w:val="24"/>
          <w:lang w:val="en-US" w:eastAsia="zh-CN" w:bidi="ar-SA"/>
        </w:rPr>
        <w:t>均</w:t>
      </w:r>
      <w:r>
        <w:rPr>
          <w:rFonts w:hint="eastAsia" w:ascii="宋体" w:hAnsi="宋体" w:cs="宋体" w:eastAsiaTheme="minorEastAsia"/>
          <w:kern w:val="2"/>
          <w:sz w:val="24"/>
          <w:szCs w:val="24"/>
          <w:lang w:val="en-US" w:eastAsia="zh-CN" w:bidi="ar-SA"/>
        </w:rPr>
        <w:t>乙方负全部责任。</w:t>
      </w:r>
    </w:p>
    <w:p w14:paraId="50CA8588">
      <w:pPr>
        <w:pStyle w:val="16"/>
        <w:spacing w:before="120" w:beforeAutospacing="0" w:after="120" w:afterAutospacing="0"/>
        <w:ind w:firstLine="482" w:firstLineChars="200"/>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2DFB6B2A">
      <w:pPr>
        <w:pStyle w:val="16"/>
        <w:spacing w:before="120" w:beforeAutospacing="0" w:after="120" w:afterAutospacing="0"/>
        <w:ind w:left="428" w:leftChars="204" w:firstLine="14" w:firstLineChars="6"/>
        <w:jc w:val="both"/>
        <w:rPr>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5.1</w:t>
      </w:r>
      <w:r>
        <w:rPr>
          <w:rFonts w:hint="eastAsia" w:ascii="宋体" w:hAnsi="宋体" w:eastAsia="宋体" w:cs="宋体"/>
          <w:color w:val="auto"/>
          <w:sz w:val="24"/>
          <w:szCs w:val="24"/>
          <w:highlight w:val="none"/>
          <w:shd w:val="clear" w:color="auto" w:fill="auto"/>
        </w:rPr>
        <w:t>乙方保证所交付的合同标的的所有权完全属于乙方且无任何抵押、查封等产权瑕疵。</w:t>
      </w:r>
    </w:p>
    <w:p w14:paraId="20156371">
      <w:pPr>
        <w:pStyle w:val="16"/>
        <w:spacing w:before="120" w:beforeAutospacing="0" w:after="120" w:afterAutospacing="0"/>
        <w:ind w:left="426" w:leftChars="203" w:firstLine="12" w:firstLineChars="5"/>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六、履约保证金</w:t>
      </w:r>
    </w:p>
    <w:p w14:paraId="7DDD914C">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6.1 乙方交纳人民币_________元作为本合同的履约保证金。</w:t>
      </w:r>
    </w:p>
    <w:p w14:paraId="29FCDFD0">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注：本项目约定3A的供应商免交履约保证金，2A的供应商按一半金额缴纳（需提供信用</w:t>
      </w:r>
    </w:p>
    <w:p w14:paraId="154B6B2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管理部门备案的第三方信用报告，且信用报告通过“信用盐城网”可查实）。</w:t>
      </w:r>
    </w:p>
    <w:p w14:paraId="3151DBD1">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6.2确需收取履约保证金的，履约保证金的缴纳形式：</w:t>
      </w:r>
    </w:p>
    <w:p w14:paraId="7A7F466B">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6.2.1供应商应当以支票、汇票、本票或者金融机构、担保机构出具的保函等非现金形式</w:t>
      </w:r>
    </w:p>
    <w:p w14:paraId="4D3B9D9E">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提交履约保证金。依据《关于在全省政府采购领域推行电子履约保函（保险）的通知》，鼓励供应商自愿使用电子履约保函（保险）代替缴纳履约保证金。</w:t>
      </w:r>
    </w:p>
    <w:p w14:paraId="0E42F3B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6.2.2 如以履约保函（保险）形式缴纳履约保证金，供应商可通过政府采购电子履约保</w:t>
      </w:r>
    </w:p>
    <w:p w14:paraId="7207820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函（保险）平台（www.jsdzbh.com）在线申请履约保函（保险）。</w:t>
      </w:r>
    </w:p>
    <w:p w14:paraId="241C1FF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6.3合同履行结束后，甲方应及时退还交纳的履约保证金。</w:t>
      </w:r>
    </w:p>
    <w:p w14:paraId="5DF9480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6.4履约保证金的退还：</w:t>
      </w:r>
    </w:p>
    <w:p w14:paraId="072088B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6.4.1方式：退还至投标人缴纳履约保证金的账户。如为保函，在到期时自行失效。</w:t>
      </w:r>
    </w:p>
    <w:p w14:paraId="2143E7C3">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6.4.2时间：验收合格且采购人收到发票后30日内。</w:t>
      </w:r>
    </w:p>
    <w:p w14:paraId="4504CC2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6.4.3条件：按合同要求全部履约完成并经采购人验收合格，且采购人收到中标人出具的</w:t>
      </w:r>
    </w:p>
    <w:p w14:paraId="4754C4A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发票。</w:t>
      </w:r>
    </w:p>
    <w:p w14:paraId="63270519">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6.4.4不予退还情形：</w:t>
      </w:r>
    </w:p>
    <w:p w14:paraId="4C0B7937">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除不可抗力情况外，投标人出现下列情形之一的，其履约保证金，招标人将视情节决定</w:t>
      </w:r>
    </w:p>
    <w:p w14:paraId="49DEE529">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不予退还或部分不予退还。</w:t>
      </w:r>
    </w:p>
    <w:p w14:paraId="67048DAC">
      <w:pPr>
        <w:pStyle w:val="16"/>
        <w:keepNext w:val="0"/>
        <w:keepLines w:val="0"/>
        <w:pageBreakBefore w:val="0"/>
        <w:widowControl w:val="0"/>
        <w:numPr>
          <w:ilvl w:val="0"/>
          <w:numId w:val="2"/>
        </w:numPr>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中标人无正当理由拒绝签订合同的，或者在签订合同时向采购人提出附加条件或者</w:t>
      </w:r>
    </w:p>
    <w:p w14:paraId="0D850604">
      <w:pPr>
        <w:pStyle w:val="16"/>
        <w:keepNext w:val="0"/>
        <w:keepLines w:val="0"/>
        <w:pageBreakBefore w:val="0"/>
        <w:widowControl w:val="0"/>
        <w:numPr>
          <w:ilvl w:val="0"/>
          <w:numId w:val="0"/>
        </w:numPr>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更改合同实质性内容要求的；</w:t>
      </w:r>
    </w:p>
    <w:p w14:paraId="181D9ABA">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（2）中标人不履行与采购人订立的合同的；</w:t>
      </w:r>
    </w:p>
    <w:p w14:paraId="164DA05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（3）中标人所供货物或服务不符合磋商文件规定要求的；</w:t>
      </w:r>
    </w:p>
    <w:p w14:paraId="07C180F9">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（4）中标人采取欺骗、弄虚作假方式投标的或与其他投标人串通投标的；</w:t>
      </w:r>
    </w:p>
    <w:p w14:paraId="2FD1EA3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（5）中标人将合同内容转包、违法分包的；</w:t>
      </w:r>
    </w:p>
    <w:p w14:paraId="67C3C1F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（6）中标人故意捏造事实或伪造证明材料，进行虚假恶意投诉或反映的。</w:t>
      </w:r>
    </w:p>
    <w:p w14:paraId="2D428026">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6.4.5逾期退还的违约责任：采购人逾期无故未退还履约保证金的，按中国人民银行同期</w:t>
      </w:r>
    </w:p>
    <w:p w14:paraId="05F906D8">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贷款基准利率上浮20%后的利率支付超期资金占用费，但因供应商自身原因导致无法及时退还的除外。</w:t>
      </w:r>
    </w:p>
    <w:p w14:paraId="2DB671DA">
      <w:pPr>
        <w:pStyle w:val="16"/>
        <w:spacing w:before="145" w:beforeAutospacing="0" w:after="145" w:afterAutospacing="0"/>
        <w:ind w:firstLine="482" w:firstLineChars="200"/>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七、合同转包或分包</w:t>
      </w:r>
    </w:p>
    <w:p w14:paraId="094DD0F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7.1乙方不得将合同标的转包给他人履行。</w:t>
      </w:r>
    </w:p>
    <w:p w14:paraId="00EFA061">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7.2乙方不得将合同标的分包给他人履行。</w:t>
      </w:r>
    </w:p>
    <w:p w14:paraId="346820F4">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7.3乙方如有转包或未经甲方同意的分包行为，甲方有权解除合同。</w:t>
      </w:r>
    </w:p>
    <w:p w14:paraId="60699B3D">
      <w:pPr>
        <w:pStyle w:val="16"/>
        <w:spacing w:before="120" w:beforeAutospacing="0" w:after="120" w:afterAutospacing="0"/>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八、合同款项支付</w:t>
      </w:r>
    </w:p>
    <w:p w14:paraId="2DBCC70E">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8.1合同款项的支付方式及进度安排</w:t>
      </w:r>
    </w:p>
    <w:p w14:paraId="5BA6B2F9">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8.1.1 预付款</w:t>
      </w:r>
      <w:r>
        <w:rPr>
          <w:rFonts w:hint="eastAsia" w:ascii="宋体" w:hAnsi="宋体" w:cs="宋体" w:eastAsiaTheme="minorEastAsia"/>
          <w:b/>
          <w:bCs/>
          <w:kern w:val="2"/>
          <w:sz w:val="24"/>
          <w:szCs w:val="24"/>
          <w:lang w:val="en-US" w:eastAsia="zh-CN" w:bidi="ar-SA"/>
        </w:rPr>
        <w:t>30%</w:t>
      </w:r>
      <w:r>
        <w:rPr>
          <w:rFonts w:hint="eastAsia" w:ascii="宋体" w:hAnsi="宋体" w:cs="宋体" w:eastAsiaTheme="minorEastAsia"/>
          <w:kern w:val="2"/>
          <w:sz w:val="24"/>
          <w:szCs w:val="24"/>
          <w:lang w:val="en-US" w:eastAsia="zh-CN" w:bidi="ar-SA"/>
        </w:rPr>
        <w:t>支付时间：合同签订后，采购人收到预付款发票后10个工作日内，预</w:t>
      </w:r>
    </w:p>
    <w:p w14:paraId="79B4E432">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付款支付比例：</w:t>
      </w:r>
      <w:r>
        <w:rPr>
          <w:rFonts w:hint="eastAsia" w:ascii="宋体" w:hAnsi="宋体" w:cs="宋体" w:eastAsiaTheme="minorEastAsia"/>
          <w:kern w:val="2"/>
          <w:sz w:val="24"/>
          <w:szCs w:val="24"/>
          <w:u w:val="single"/>
          <w:lang w:val="en-US" w:eastAsia="zh-CN" w:bidi="ar-SA"/>
        </w:rPr>
        <w:t>合同金额的30%</w:t>
      </w:r>
      <w:r>
        <w:rPr>
          <w:rFonts w:hint="eastAsia" w:ascii="宋体" w:hAnsi="宋体" w:cs="宋体" w:eastAsiaTheme="minorEastAsia"/>
          <w:kern w:val="2"/>
          <w:sz w:val="24"/>
          <w:szCs w:val="24"/>
          <w:lang w:val="en-US" w:eastAsia="zh-CN" w:bidi="ar-SA"/>
        </w:rPr>
        <w:t>。</w:t>
      </w:r>
    </w:p>
    <w:p w14:paraId="24C4EE2B">
      <w:pPr>
        <w:autoSpaceDE w:val="0"/>
        <w:autoSpaceDN w:val="0"/>
        <w:adjustRightInd w:val="0"/>
        <w:snapToGrid w:val="0"/>
        <w:spacing w:line="480" w:lineRule="exact"/>
        <w:ind w:firstLine="480" w:firstLineChars="200"/>
        <w:rPr>
          <w:rFonts w:hint="eastAsia" w:ascii="宋体" w:hAnsi="宋体" w:cs="宋体"/>
          <w:b/>
          <w:sz w:val="24"/>
        </w:rPr>
      </w:pPr>
      <w:r>
        <w:rPr>
          <w:rFonts w:hint="eastAsia" w:ascii="宋体" w:hAnsi="宋体" w:eastAsia="宋体" w:cs="宋体"/>
          <w:color w:val="auto"/>
          <w:sz w:val="24"/>
          <w:szCs w:val="24"/>
          <w:highlight w:val="none"/>
          <w:shd w:val="clear" w:color="auto" w:fill="auto"/>
        </w:rPr>
        <w:t>8.1.2 尾款</w:t>
      </w:r>
      <w:r>
        <w:rPr>
          <w:rFonts w:hint="eastAsia" w:ascii="宋体" w:hAnsi="宋体" w:eastAsia="宋体" w:cs="宋体"/>
          <w:color w:val="auto"/>
          <w:sz w:val="24"/>
          <w:szCs w:val="24"/>
          <w:highlight w:val="none"/>
          <w:shd w:val="clear" w:color="auto" w:fill="auto"/>
          <w:lang w:val="en-US" w:eastAsia="zh-CN"/>
        </w:rPr>
        <w:t>70%</w:t>
      </w:r>
      <w:r>
        <w:rPr>
          <w:rFonts w:hint="eastAsia" w:ascii="宋体" w:hAnsi="宋体" w:eastAsia="宋体" w:cs="宋体"/>
          <w:color w:val="auto"/>
          <w:sz w:val="24"/>
          <w:szCs w:val="24"/>
          <w:highlight w:val="none"/>
          <w:shd w:val="clear" w:color="auto" w:fill="auto"/>
        </w:rPr>
        <w:t>支付时间：</w:t>
      </w:r>
      <w:r>
        <w:rPr>
          <w:rFonts w:hint="eastAsia" w:ascii="宋体" w:hAnsi="宋体" w:cs="宋体"/>
          <w:b/>
          <w:sz w:val="24"/>
        </w:rPr>
        <w:t>乙方完成抽样检验并提供检验报告书后开具正规结算发票，甲方收到结算发票并经确认无误后</w:t>
      </w:r>
      <w:r>
        <w:rPr>
          <w:rFonts w:hint="eastAsia" w:ascii="宋体" w:hAnsi="宋体" w:cs="宋体"/>
          <w:b/>
          <w:sz w:val="24"/>
          <w:lang w:val="en-US" w:eastAsia="zh-CN"/>
        </w:rPr>
        <w:t>10</w:t>
      </w:r>
      <w:r>
        <w:rPr>
          <w:rFonts w:hint="eastAsia" w:ascii="宋体" w:hAnsi="宋体" w:cs="宋体"/>
          <w:b/>
          <w:sz w:val="24"/>
        </w:rPr>
        <w:t>日内予以结算（无息）。</w:t>
      </w:r>
    </w:p>
    <w:p w14:paraId="4A1B89AE">
      <w:pPr>
        <w:autoSpaceDE w:val="0"/>
        <w:autoSpaceDN w:val="0"/>
        <w:adjustRightInd w:val="0"/>
        <w:snapToGrid w:val="0"/>
        <w:spacing w:line="480" w:lineRule="exact"/>
        <w:ind w:firstLine="482" w:firstLineChars="200"/>
        <w:rPr>
          <w:rFonts w:hint="eastAsia" w:ascii="宋体" w:hAnsi="宋体" w:cs="宋体"/>
          <w:b/>
          <w:bCs/>
          <w:sz w:val="24"/>
        </w:rPr>
      </w:pPr>
      <w:r>
        <w:rPr>
          <w:rFonts w:hint="eastAsia" w:ascii="宋体" w:hAnsi="宋体" w:cs="宋体"/>
          <w:b/>
          <w:bCs/>
          <w:sz w:val="24"/>
        </w:rPr>
        <w:t>实付款金额=甲方和乙方双方确认的检测数量×乙方的投标单价－考评扣款。</w:t>
      </w:r>
    </w:p>
    <w:p w14:paraId="0E590CEF">
      <w:pPr>
        <w:autoSpaceDE w:val="0"/>
        <w:autoSpaceDN w:val="0"/>
        <w:adjustRightInd w:val="0"/>
        <w:snapToGrid w:val="0"/>
        <w:spacing w:line="480" w:lineRule="exact"/>
        <w:ind w:firstLine="482" w:firstLineChars="200"/>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九、税费</w:t>
      </w:r>
    </w:p>
    <w:p w14:paraId="1D5D67CD">
      <w:pPr>
        <w:pStyle w:val="16"/>
        <w:spacing w:before="145" w:beforeAutospacing="0" w:after="145" w:afterAutospacing="0"/>
        <w:ind w:firstLine="480" w:firstLineChars="200"/>
        <w:jc w:val="both"/>
        <w:rPr>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9.1本合同执行中相关的一切税费均由乙方负担。</w:t>
      </w:r>
    </w:p>
    <w:p w14:paraId="147643D3">
      <w:pPr>
        <w:pStyle w:val="16"/>
        <w:spacing w:before="120" w:beforeAutospacing="0" w:after="120" w:afterAutospacing="0"/>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十、项目验收</w:t>
      </w:r>
    </w:p>
    <w:p w14:paraId="0CBE2CD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10.1 甲方依法组织履约验收工作。</w:t>
      </w:r>
    </w:p>
    <w:p w14:paraId="71E4398D">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10.2 甲方在组织履约验收前，将根据项目特点制定验收方案，明确履约验收的时间、方</w:t>
      </w:r>
    </w:p>
    <w:p w14:paraId="7140CB3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式、程序等内容，并可根据项目特点对服务期内的服务实施情况进行分期考核，综合考核情况和服务效果进行验收。乙方应根据验收方案内容做好相应配合工作。</w:t>
      </w:r>
    </w:p>
    <w:p w14:paraId="74094CC9">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10.3 对于实际使用人和甲方分离的项目，甲方邀请实际使用人参与验收。</w:t>
      </w:r>
    </w:p>
    <w:p w14:paraId="7AC192EC">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10.4 如有必要，甲方邀请参加本项目的其他供应商或第三方专业机构及专家参与验收，</w:t>
      </w:r>
    </w:p>
    <w:p w14:paraId="0D403C65">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相关意见将作为验收书的参考资料。</w:t>
      </w:r>
    </w:p>
    <w:p w14:paraId="1C9A0AAF">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10.5 甲方成立验收小组，按照采购合同的约定对乙方的履约情况进行验收。验收时,甲</w:t>
      </w:r>
    </w:p>
    <w:p w14:paraId="3A3C4BCB">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1F900B0">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28" w:leftChars="204" w:firstLine="14" w:firstLineChars="6"/>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10.6 验收合格的项目,甲方根据采购合同的约定及时向乙方支付合同款项、退还履约保</w:t>
      </w:r>
    </w:p>
    <w:p w14:paraId="6A5B59B6">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C612015">
      <w:pPr>
        <w:pStyle w:val="16"/>
        <w:spacing w:before="120" w:beforeAutospacing="0" w:after="120" w:afterAutospacing="0"/>
        <w:ind w:firstLine="482" w:firstLineChars="200"/>
        <w:jc w:val="both"/>
        <w:rPr>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十一、违约责任</w:t>
      </w:r>
    </w:p>
    <w:p w14:paraId="1F32D5A3">
      <w:pPr>
        <w:spacing w:line="460" w:lineRule="exact"/>
        <w:ind w:firstLine="480" w:firstLineChars="200"/>
        <w:rPr>
          <w:rFonts w:ascii="宋体" w:hAnsi="宋体"/>
          <w:sz w:val="24"/>
        </w:rPr>
      </w:pPr>
      <w:r>
        <w:rPr>
          <w:rFonts w:hint="eastAsia" w:ascii="宋体" w:hAnsi="宋体"/>
          <w:sz w:val="24"/>
          <w:lang w:val="en-US" w:eastAsia="zh-CN"/>
        </w:rPr>
        <w:t>11.1</w:t>
      </w:r>
      <w:r>
        <w:rPr>
          <w:rFonts w:hint="eastAsia" w:ascii="宋体" w:hAnsi="宋体"/>
          <w:sz w:val="24"/>
        </w:rPr>
        <w:t>甲方无正当理由拒收服务、拒付服务款的，甲方向乙方偿付合同总价的5%违约金。</w:t>
      </w:r>
    </w:p>
    <w:p w14:paraId="7C3A9000">
      <w:pPr>
        <w:spacing w:line="460" w:lineRule="exact"/>
        <w:ind w:firstLine="480"/>
        <w:rPr>
          <w:rFonts w:ascii="宋体" w:hAnsi="宋体"/>
          <w:sz w:val="24"/>
        </w:rPr>
      </w:pPr>
      <w:r>
        <w:rPr>
          <w:rFonts w:hint="eastAsia" w:ascii="宋体" w:hAnsi="宋体"/>
          <w:sz w:val="24"/>
          <w:lang w:val="en-US" w:eastAsia="zh-CN"/>
        </w:rPr>
        <w:t>11.2</w:t>
      </w:r>
      <w:r>
        <w:rPr>
          <w:rFonts w:hint="eastAsia" w:ascii="宋体" w:hAnsi="宋体"/>
          <w:sz w:val="24"/>
        </w:rPr>
        <w:t>如乙方不能交付服务的，甲方有权扣留全部履约保证金；同时乙方应向甲方支付合同总价10%的违约金。</w:t>
      </w:r>
    </w:p>
    <w:p w14:paraId="6DB33C45">
      <w:pPr>
        <w:spacing w:line="460" w:lineRule="exact"/>
        <w:ind w:firstLine="480"/>
        <w:rPr>
          <w:rFonts w:ascii="宋体" w:hAnsi="宋体"/>
          <w:sz w:val="24"/>
        </w:rPr>
      </w:pPr>
      <w:r>
        <w:rPr>
          <w:rFonts w:hint="eastAsia" w:ascii="宋体" w:hAnsi="宋体"/>
          <w:sz w:val="24"/>
          <w:lang w:val="en-US" w:eastAsia="zh-CN"/>
        </w:rPr>
        <w:t>11.3</w:t>
      </w:r>
      <w:r>
        <w:rPr>
          <w:rFonts w:hint="eastAsia" w:ascii="宋体" w:hAnsi="宋体"/>
          <w:sz w:val="24"/>
        </w:rPr>
        <w:t xml:space="preserve">乙方所交付的服务不符合合同规定的，甲方有权拒收。甲方拒收的，乙方应向甲方支付合同总价10%的违约金。 </w:t>
      </w:r>
    </w:p>
    <w:p w14:paraId="101C0F0B">
      <w:pPr>
        <w:spacing w:line="460" w:lineRule="exact"/>
        <w:ind w:firstLine="480"/>
        <w:rPr>
          <w:rFonts w:ascii="宋体" w:hAnsi="宋体"/>
          <w:sz w:val="24"/>
        </w:rPr>
      </w:pPr>
      <w:r>
        <w:rPr>
          <w:rFonts w:hint="eastAsia" w:ascii="宋体" w:hAnsi="宋体"/>
          <w:sz w:val="24"/>
          <w:lang w:val="en-US" w:eastAsia="zh-CN"/>
        </w:rPr>
        <w:t>11.4</w:t>
      </w:r>
      <w:r>
        <w:rPr>
          <w:rFonts w:hint="eastAsia" w:ascii="宋体" w:hAnsi="宋体"/>
          <w:sz w:val="24"/>
        </w:rPr>
        <w:t>乙方在承担上述</w:t>
      </w:r>
      <w:r>
        <w:rPr>
          <w:rFonts w:hint="eastAsia" w:ascii="宋体" w:hAnsi="宋体"/>
          <w:sz w:val="24"/>
          <w:lang w:val="en-US" w:eastAsia="zh-CN"/>
        </w:rPr>
        <w:t>11.1-11.3</w:t>
      </w:r>
      <w:r>
        <w:rPr>
          <w:rFonts w:hint="eastAsia" w:ascii="宋体" w:hAnsi="宋体"/>
          <w:sz w:val="24"/>
        </w:rPr>
        <w:t>款一项或多项违约责任后，仍应继续履行合同规定的义务（甲方解除合同的除外）。甲方未能及时追究乙方的任何一项违约责任并不表明甲方放弃追究乙方该项或其他违约责任</w:t>
      </w:r>
    </w:p>
    <w:p w14:paraId="1F79C2BC">
      <w:pPr>
        <w:spacing w:line="460" w:lineRule="exact"/>
        <w:ind w:firstLine="480"/>
        <w:rPr>
          <w:rFonts w:ascii="宋体" w:hAnsi="宋体"/>
          <w:sz w:val="24"/>
        </w:rPr>
      </w:pPr>
      <w:r>
        <w:rPr>
          <w:rFonts w:hint="eastAsia" w:ascii="宋体" w:hAnsi="宋体"/>
          <w:sz w:val="24"/>
          <w:lang w:val="en-US" w:eastAsia="zh-CN"/>
        </w:rPr>
        <w:t>11.5</w:t>
      </w:r>
      <w:r>
        <w:rPr>
          <w:rFonts w:hint="eastAsia" w:ascii="宋体" w:hAnsi="宋体"/>
          <w:sz w:val="24"/>
        </w:rPr>
        <w:t>由于乙方的过错造成合同无法继续履行的，除乙方履约保证金不予退还外，还应向甲方支付不少于合同总价30%赔偿金。</w:t>
      </w:r>
    </w:p>
    <w:p w14:paraId="1D306072">
      <w:pPr>
        <w:spacing w:line="460" w:lineRule="exact"/>
        <w:ind w:firstLine="482"/>
        <w:rPr>
          <w:rFonts w:ascii="宋体" w:hAnsi="宋体"/>
          <w:b/>
          <w:sz w:val="24"/>
        </w:rPr>
      </w:pPr>
      <w:r>
        <w:rPr>
          <w:rFonts w:hint="eastAsia" w:ascii="宋体" w:hAnsi="宋体"/>
          <w:b/>
          <w:sz w:val="24"/>
          <w:lang w:val="en-US" w:eastAsia="zh-CN"/>
        </w:rPr>
        <w:t>11.6</w:t>
      </w:r>
      <w:r>
        <w:rPr>
          <w:rFonts w:hint="eastAsia" w:ascii="宋体" w:hAnsi="宋体"/>
          <w:b/>
          <w:sz w:val="24"/>
        </w:rPr>
        <w:t>至项目服务期满，如乙方不能按期交付服务或因自身原因导致检测数量不足或检测比例不符合甲方要求的，甲方按照不足部分批次总价的200%扣除费用。如果甲方要求乙方减少或增加快检批次，乙方需配合，甲方根据中标价按实结算费用给乙方。</w:t>
      </w:r>
    </w:p>
    <w:p w14:paraId="63F0A717">
      <w:pPr>
        <w:pStyle w:val="8"/>
        <w:spacing w:line="460" w:lineRule="exact"/>
        <w:ind w:firstLine="482"/>
        <w:rPr>
          <w:rFonts w:ascii="宋体" w:hAnsi="宋体" w:eastAsia="宋体"/>
          <w:b/>
          <w:sz w:val="24"/>
          <w:szCs w:val="24"/>
        </w:rPr>
      </w:pPr>
      <w:r>
        <w:rPr>
          <w:rFonts w:hint="eastAsia" w:ascii="宋体" w:hAnsi="宋体" w:eastAsia="宋体"/>
          <w:b/>
          <w:sz w:val="24"/>
          <w:szCs w:val="24"/>
          <w:lang w:val="en-US" w:eastAsia="zh-CN"/>
        </w:rPr>
        <w:t>11.7</w:t>
      </w:r>
      <w:r>
        <w:rPr>
          <w:rFonts w:hint="eastAsia" w:ascii="宋体" w:hAnsi="宋体" w:eastAsia="宋体"/>
          <w:b/>
          <w:sz w:val="24"/>
          <w:szCs w:val="24"/>
        </w:rPr>
        <w:t>甲方定期对合同的开展进行抽查考核，考核内容见《亭湖区2025年“七鱼三菜两蛋”专项农贸市场快检服务项目考核表》，甲方根据考核结果扣除对应的费用。乙方抽检品种、检测项目等具体要求详见招标文件第四章采购需求。</w:t>
      </w:r>
    </w:p>
    <w:p w14:paraId="23B302C0">
      <w:pPr>
        <w:spacing w:line="460" w:lineRule="exact"/>
        <w:ind w:firstLine="482"/>
        <w:rPr>
          <w:rFonts w:hint="eastAsia" w:ascii="宋体" w:hAnsi="宋体"/>
          <w:b/>
          <w:sz w:val="24"/>
          <w:lang w:val="en-US" w:eastAsia="zh-CN"/>
        </w:rPr>
      </w:pPr>
      <w:r>
        <w:rPr>
          <w:rFonts w:hint="eastAsia" w:ascii="宋体" w:hAnsi="宋体"/>
          <w:b/>
          <w:sz w:val="24"/>
          <w:lang w:val="en-US" w:eastAsia="zh-CN"/>
        </w:rPr>
        <w:t>11.8本项目须乙方相对集中检测，每个包须至少配备5名抽样人员及10名检测人员，且有固定的办公场所及符合检测标准的快检室，经甲方同意场地由乙方提供，改造费用、设施设备均由乙方自己承担，甲方不再支付除合同外的任何费用。如乙方未按招标文件要求建设相关场所或检测中心选址及设施设备不能满足快检要求，甲方有权解除本合同。</w:t>
      </w:r>
    </w:p>
    <w:p w14:paraId="2868EF01">
      <w:pPr>
        <w:pStyle w:val="12"/>
        <w:adjustRightInd w:val="0"/>
        <w:snapToGrid w:val="0"/>
        <w:spacing w:line="480" w:lineRule="exact"/>
        <w:ind w:left="0" w:leftChars="0" w:firstLine="482" w:firstLineChars="200"/>
        <w:rPr>
          <w:rFonts w:hint="default" w:ascii="宋体" w:hAnsi="宋体"/>
          <w:b/>
          <w:sz w:val="24"/>
          <w:lang w:val="en-US" w:eastAsia="zh-CN"/>
        </w:rPr>
      </w:pPr>
      <w:r>
        <w:rPr>
          <w:rFonts w:hint="eastAsia" w:ascii="宋体" w:hAnsi="宋体"/>
          <w:b/>
          <w:sz w:val="24"/>
          <w:lang w:val="en-US" w:eastAsia="zh-CN"/>
        </w:rPr>
        <w:t>11.9</w:t>
      </w:r>
      <w:r>
        <w:rPr>
          <w:rFonts w:hint="eastAsia" w:ascii="宋体" w:hAnsi="宋体"/>
          <w:b/>
          <w:bCs/>
          <w:sz w:val="24"/>
          <w:szCs w:val="24"/>
        </w:rPr>
        <w:t>本项目检测室内须安装满足甲方要求的高清摄像头，摄像要求检测过程清晰可见，且检测过程可实时回放。</w:t>
      </w:r>
    </w:p>
    <w:p w14:paraId="6D9102FD">
      <w:pPr>
        <w:spacing w:line="460" w:lineRule="exact"/>
        <w:ind w:firstLine="482"/>
        <w:rPr>
          <w:rFonts w:hint="eastAsia" w:ascii="宋体" w:hAnsi="宋体"/>
          <w:b/>
          <w:sz w:val="24"/>
          <w:lang w:val="en-US" w:eastAsia="zh-CN"/>
        </w:rPr>
      </w:pPr>
      <w:r>
        <w:rPr>
          <w:rFonts w:hint="eastAsia" w:ascii="宋体" w:hAnsi="宋体"/>
          <w:b/>
          <w:sz w:val="24"/>
          <w:lang w:val="en-US" w:eastAsia="zh-CN"/>
        </w:rPr>
        <w:t>十二、不可抗力事件处理</w:t>
      </w:r>
    </w:p>
    <w:p w14:paraId="178C73A5">
      <w:pPr>
        <w:spacing w:line="460" w:lineRule="exact"/>
        <w:ind w:firstLine="480"/>
        <w:rPr>
          <w:rFonts w:hint="eastAsia" w:ascii="宋体" w:hAnsi="宋体"/>
          <w:sz w:val="24"/>
        </w:rPr>
      </w:pPr>
      <w:r>
        <w:rPr>
          <w:rFonts w:hint="eastAsia" w:ascii="宋体" w:hAnsi="宋体"/>
          <w:sz w:val="24"/>
        </w:rPr>
        <w:t>12.1 在合同有效期内，任何一方因不可抗力事件导致不能履行合同，则合同履行期可延长，其延长期与不可抗力影响期相同。</w:t>
      </w:r>
    </w:p>
    <w:p w14:paraId="6568FAF9">
      <w:pPr>
        <w:spacing w:line="460" w:lineRule="exact"/>
        <w:ind w:firstLine="480"/>
        <w:rPr>
          <w:rFonts w:hint="eastAsia" w:ascii="宋体" w:hAnsi="宋体"/>
          <w:sz w:val="24"/>
        </w:rPr>
      </w:pPr>
      <w:r>
        <w:rPr>
          <w:rFonts w:hint="eastAsia" w:ascii="宋体" w:hAnsi="宋体"/>
          <w:sz w:val="24"/>
        </w:rPr>
        <w:t>12.2 不可抗力事件发生后，应立即通知对方，并寄送有关权威机构出具的证明。</w:t>
      </w:r>
    </w:p>
    <w:p w14:paraId="3CB7B0C8">
      <w:pPr>
        <w:spacing w:line="460" w:lineRule="exact"/>
        <w:ind w:firstLine="480"/>
        <w:rPr>
          <w:rFonts w:hint="eastAsia" w:ascii="宋体" w:hAnsi="宋体"/>
          <w:sz w:val="24"/>
        </w:rPr>
      </w:pPr>
      <w:r>
        <w:rPr>
          <w:rFonts w:hint="eastAsia" w:ascii="宋体" w:hAnsi="宋体"/>
          <w:sz w:val="24"/>
        </w:rPr>
        <w:t>12.3 不可抗力事件延续120天以上，双方应通过友好协商，确定是否继续履行合同。</w:t>
      </w:r>
    </w:p>
    <w:p w14:paraId="06F17410">
      <w:pPr>
        <w:spacing w:line="460" w:lineRule="exact"/>
        <w:ind w:firstLine="482"/>
        <w:rPr>
          <w:rFonts w:ascii="宋体" w:hAnsi="宋体"/>
          <w:b/>
          <w:bCs/>
          <w:sz w:val="24"/>
        </w:rPr>
      </w:pPr>
      <w:r>
        <w:rPr>
          <w:rFonts w:hint="eastAsia" w:ascii="宋体" w:hAnsi="宋体"/>
          <w:b/>
          <w:bCs/>
          <w:sz w:val="24"/>
          <w:lang w:val="en-US" w:eastAsia="zh-CN"/>
        </w:rPr>
        <w:t>十三、</w:t>
      </w:r>
      <w:r>
        <w:rPr>
          <w:rFonts w:hint="eastAsia" w:ascii="宋体" w:hAnsi="宋体"/>
          <w:b/>
          <w:bCs/>
          <w:sz w:val="24"/>
        </w:rPr>
        <w:t>安全问题</w:t>
      </w:r>
    </w:p>
    <w:p w14:paraId="77FE4168">
      <w:pPr>
        <w:spacing w:line="460" w:lineRule="exact"/>
        <w:ind w:firstLine="480"/>
        <w:rPr>
          <w:rFonts w:ascii="宋体" w:hAnsi="宋体"/>
          <w:sz w:val="24"/>
        </w:rPr>
      </w:pPr>
      <w:bookmarkStart w:id="156" w:name="_Toc4902"/>
      <w:r>
        <w:rPr>
          <w:rFonts w:hint="eastAsia" w:ascii="宋体" w:hAnsi="宋体"/>
          <w:sz w:val="24"/>
          <w:lang w:val="en-US" w:eastAsia="zh-CN"/>
        </w:rPr>
        <w:t>13.1</w:t>
      </w:r>
      <w:r>
        <w:rPr>
          <w:rFonts w:hint="eastAsia" w:ascii="宋体" w:hAnsi="宋体"/>
          <w:sz w:val="24"/>
        </w:rPr>
        <w:t>乙方在本合同履行期间，必须考虑检测过程中的安全问题，所发生的一切货物损坏和人身伤害事故（不包括不可抗力因素），由乙方承担全部责任。</w:t>
      </w:r>
      <w:bookmarkEnd w:id="156"/>
    </w:p>
    <w:p w14:paraId="5B2DBBFB">
      <w:pPr>
        <w:spacing w:line="460" w:lineRule="exact"/>
        <w:ind w:firstLine="482"/>
        <w:rPr>
          <w:rFonts w:hint="eastAsia" w:ascii="宋体" w:hAnsi="宋体"/>
          <w:b/>
          <w:bCs/>
          <w:sz w:val="24"/>
        </w:rPr>
      </w:pPr>
      <w:r>
        <w:rPr>
          <w:rFonts w:hint="eastAsia" w:ascii="宋体" w:hAnsi="宋体"/>
          <w:b/>
          <w:bCs/>
          <w:sz w:val="24"/>
          <w:lang w:val="en-US" w:eastAsia="zh-CN"/>
        </w:rPr>
        <w:t>十四、</w:t>
      </w:r>
      <w:r>
        <w:rPr>
          <w:rFonts w:hint="eastAsia" w:ascii="宋体" w:hAnsi="宋体"/>
          <w:b/>
          <w:bCs/>
          <w:sz w:val="24"/>
        </w:rPr>
        <w:t>增项服务</w:t>
      </w:r>
    </w:p>
    <w:p w14:paraId="04917A55">
      <w:pPr>
        <w:adjustRightInd w:val="0"/>
        <w:snapToGrid w:val="0"/>
        <w:spacing w:line="480" w:lineRule="exact"/>
        <w:ind w:firstLine="480" w:firstLineChars="200"/>
        <w:rPr>
          <w:rFonts w:hint="eastAsia" w:ascii="宋体" w:hAnsi="宋体"/>
          <w:sz w:val="24"/>
        </w:rPr>
      </w:pPr>
      <w:r>
        <w:rPr>
          <w:rFonts w:hint="eastAsia" w:ascii="宋体" w:hAnsi="宋体"/>
          <w:sz w:val="24"/>
          <w:lang w:val="en-US" w:eastAsia="zh-CN"/>
        </w:rPr>
        <w:t>14.1</w:t>
      </w:r>
      <w:r>
        <w:rPr>
          <w:rFonts w:hint="eastAsia" w:ascii="宋体" w:hAnsi="宋体"/>
          <w:sz w:val="24"/>
        </w:rPr>
        <w:t>培训亭湖区市场监督管理局食品安全快检中心工作人员，熟练掌握仪器操作，发现一项仪器不会操作或未开展培训，扣5000元，扣完5万元为止。</w:t>
      </w:r>
    </w:p>
    <w:p w14:paraId="5C0EC2CE">
      <w:pPr>
        <w:adjustRightInd w:val="0"/>
        <w:snapToGrid w:val="0"/>
        <w:spacing w:line="480" w:lineRule="exact"/>
        <w:ind w:firstLine="482" w:firstLineChars="200"/>
        <w:rPr>
          <w:rFonts w:hint="eastAsia" w:ascii="宋体" w:hAnsi="宋体"/>
          <w:b/>
          <w:bCs/>
          <w:sz w:val="24"/>
        </w:rPr>
      </w:pPr>
      <w:r>
        <w:rPr>
          <w:rFonts w:hint="eastAsia" w:ascii="宋体" w:hAnsi="宋体"/>
          <w:b/>
          <w:bCs/>
          <w:sz w:val="24"/>
          <w:lang w:val="en-US" w:eastAsia="zh-CN"/>
        </w:rPr>
        <w:t>十五、</w:t>
      </w:r>
      <w:r>
        <w:rPr>
          <w:rFonts w:hint="eastAsia" w:ascii="宋体" w:hAnsi="宋体"/>
          <w:b/>
          <w:bCs/>
          <w:sz w:val="24"/>
        </w:rPr>
        <w:t>保密</w:t>
      </w:r>
    </w:p>
    <w:p w14:paraId="3D542DF4">
      <w:pPr>
        <w:spacing w:line="460" w:lineRule="exact"/>
        <w:ind w:firstLine="480"/>
        <w:rPr>
          <w:rFonts w:ascii="宋体" w:hAnsi="宋体"/>
          <w:sz w:val="24"/>
        </w:rPr>
      </w:pPr>
      <w:bookmarkStart w:id="157" w:name="_Toc27030"/>
      <w:r>
        <w:rPr>
          <w:rFonts w:hint="eastAsia" w:ascii="宋体" w:hAnsi="宋体"/>
          <w:sz w:val="24"/>
          <w:lang w:val="en-US" w:eastAsia="zh-CN"/>
        </w:rPr>
        <w:t>15.1</w:t>
      </w:r>
      <w:r>
        <w:rPr>
          <w:rFonts w:hint="eastAsia" w:ascii="宋体" w:hAnsi="宋体"/>
          <w:sz w:val="24"/>
        </w:rPr>
        <w:t>乙方对在本合同签订、履行过程中知悉的甲方资料和信息，以及关于本合同的相关信息，除甲方作出相应的书面说明外，均应视为甲方的保密信息，未经甲方书面同意不得向任何第三方披露。</w:t>
      </w:r>
      <w:bookmarkEnd w:id="157"/>
    </w:p>
    <w:p w14:paraId="509728AE">
      <w:pPr>
        <w:adjustRightInd w:val="0"/>
        <w:snapToGrid w:val="0"/>
        <w:spacing w:line="480" w:lineRule="exact"/>
        <w:ind w:firstLine="480" w:firstLineChars="200"/>
        <w:rPr>
          <w:rFonts w:hint="eastAsia" w:ascii="宋体" w:hAnsi="宋体"/>
          <w:sz w:val="24"/>
        </w:rPr>
      </w:pPr>
      <w:bookmarkStart w:id="158" w:name="_Toc24192"/>
      <w:r>
        <w:rPr>
          <w:rFonts w:hint="eastAsia" w:ascii="宋体" w:hAnsi="宋体"/>
          <w:sz w:val="24"/>
          <w:lang w:val="en-US" w:eastAsia="zh-CN"/>
        </w:rPr>
        <w:t>15.2</w:t>
      </w:r>
      <w:r>
        <w:rPr>
          <w:rFonts w:hint="eastAsia" w:ascii="宋体" w:hAnsi="宋体"/>
          <w:sz w:val="24"/>
        </w:rPr>
        <w:t>无论本合同是否变更、解除或终止，本合同的保密条款不受其限制而继续有效，乙方应继续承担保密条款约定的保密义务。若乙方未能遵守本合同约定的保密义务的，甲方可要求乙方支付本合同总金额20%的违约金。同时，甲方有权视情节轻重单方解除合同。</w:t>
      </w:r>
      <w:bookmarkEnd w:id="158"/>
    </w:p>
    <w:p w14:paraId="33190098">
      <w:pPr>
        <w:adjustRightInd w:val="0"/>
        <w:snapToGrid w:val="0"/>
        <w:spacing w:line="480" w:lineRule="exact"/>
        <w:ind w:firstLine="482" w:firstLineChars="200"/>
        <w:rPr>
          <w:rFonts w:hint="eastAsia" w:ascii="宋体" w:hAnsi="宋体"/>
          <w:b/>
          <w:bCs/>
          <w:sz w:val="24"/>
          <w:lang w:val="en-US" w:eastAsia="zh-CN"/>
        </w:rPr>
      </w:pPr>
      <w:r>
        <w:rPr>
          <w:rFonts w:hint="eastAsia" w:ascii="宋体" w:hAnsi="宋体"/>
          <w:b/>
          <w:bCs/>
          <w:sz w:val="24"/>
          <w:lang w:val="en-US" w:eastAsia="zh-CN"/>
        </w:rPr>
        <w:t>十六、知识产权</w:t>
      </w:r>
    </w:p>
    <w:p w14:paraId="6138A434">
      <w:pPr>
        <w:spacing w:line="460" w:lineRule="exact"/>
        <w:ind w:firstLine="480"/>
        <w:rPr>
          <w:rFonts w:ascii="宋体" w:hAnsi="宋体"/>
          <w:sz w:val="24"/>
        </w:rPr>
      </w:pPr>
      <w:bookmarkStart w:id="159" w:name="_Toc12275"/>
      <w:r>
        <w:rPr>
          <w:rFonts w:hint="eastAsia" w:ascii="宋体" w:hAnsi="宋体"/>
          <w:sz w:val="24"/>
          <w:lang w:val="en-US" w:eastAsia="zh-CN"/>
        </w:rPr>
        <w:t>16.1</w:t>
      </w:r>
      <w:r>
        <w:rPr>
          <w:rFonts w:hint="eastAsia" w:ascii="宋体" w:hAnsi="宋体"/>
          <w:sz w:val="24"/>
        </w:rPr>
        <w:t>乙方应对提交给甲方的资料的真实性、合法性、有效性负责，并承诺未侵犯第三人知识产权，若第三人提出此方面指控的与甲方无关，乙方应与第三人交涉，并承担可能发生的一切法律责任、费用和后果；若甲方因此而产生损失的，则乙方应赔偿甲方一切直接、间接损失。</w:t>
      </w:r>
      <w:bookmarkEnd w:id="159"/>
    </w:p>
    <w:p w14:paraId="070BEFB3">
      <w:pPr>
        <w:spacing w:line="460" w:lineRule="exact"/>
        <w:ind w:firstLine="480"/>
        <w:rPr>
          <w:rFonts w:hint="eastAsia" w:ascii="宋体" w:hAnsi="宋体" w:eastAsiaTheme="minorEastAsia"/>
          <w:sz w:val="24"/>
          <w:lang w:val="en-US" w:eastAsia="zh-CN"/>
        </w:rPr>
      </w:pPr>
      <w:bookmarkStart w:id="160" w:name="_Toc11054"/>
      <w:r>
        <w:rPr>
          <w:rFonts w:hint="eastAsia" w:ascii="宋体" w:hAnsi="宋体"/>
          <w:sz w:val="24"/>
          <w:lang w:val="en-US" w:eastAsia="zh-CN"/>
        </w:rPr>
        <w:t>16.2</w:t>
      </w:r>
      <w:r>
        <w:rPr>
          <w:rFonts w:hint="eastAsia" w:ascii="宋体" w:hAnsi="宋体"/>
          <w:sz w:val="24"/>
        </w:rPr>
        <w:t>乙方履行本合同过程中产生的著作权等知识产权归甲方所有，未经甲方书面同意，乙方不得擅自使用或授权任何第三方使用。乙方违反前述约定的，应向甲方支付本合同总金额20%的违约金，违约金不足以弥补甲方损失的，乙方应予以补足。</w:t>
      </w:r>
      <w:bookmarkEnd w:id="160"/>
    </w:p>
    <w:p w14:paraId="0418ACDD">
      <w:pPr>
        <w:adjustRightInd w:val="0"/>
        <w:snapToGrid w:val="0"/>
        <w:spacing w:line="480" w:lineRule="exact"/>
        <w:ind w:firstLine="482" w:firstLineChars="200"/>
        <w:rPr>
          <w:rFonts w:hint="eastAsia" w:ascii="宋体" w:hAnsi="宋体"/>
          <w:b/>
          <w:bCs/>
          <w:sz w:val="24"/>
        </w:rPr>
      </w:pPr>
      <w:r>
        <w:rPr>
          <w:rFonts w:hint="eastAsia" w:ascii="宋体" w:hAnsi="宋体"/>
          <w:b/>
          <w:bCs/>
          <w:sz w:val="24"/>
        </w:rPr>
        <w:t>十</w:t>
      </w:r>
      <w:r>
        <w:rPr>
          <w:rFonts w:hint="eastAsia" w:ascii="宋体" w:hAnsi="宋体"/>
          <w:b/>
          <w:bCs/>
          <w:sz w:val="24"/>
          <w:lang w:val="en-US" w:eastAsia="zh-CN"/>
        </w:rPr>
        <w:t>七</w:t>
      </w:r>
      <w:r>
        <w:rPr>
          <w:rFonts w:hint="eastAsia" w:ascii="宋体" w:hAnsi="宋体"/>
          <w:b/>
          <w:bCs/>
          <w:sz w:val="24"/>
        </w:rPr>
        <w:t>、解决争议的方法</w:t>
      </w:r>
    </w:p>
    <w:p w14:paraId="7B7C6A5C">
      <w:pPr>
        <w:adjustRightInd w:val="0"/>
        <w:snapToGrid w:val="0"/>
        <w:spacing w:line="480" w:lineRule="exact"/>
        <w:ind w:firstLine="480" w:firstLineChars="200"/>
        <w:rPr>
          <w:rFonts w:hint="eastAsia" w:ascii="宋体" w:hAnsi="宋体"/>
          <w:sz w:val="24"/>
        </w:rPr>
      </w:pPr>
      <w:r>
        <w:rPr>
          <w:rFonts w:hint="eastAsia" w:ascii="宋体" w:hAnsi="宋体"/>
          <w:sz w:val="24"/>
        </w:rPr>
        <w:t>1</w:t>
      </w:r>
      <w:r>
        <w:rPr>
          <w:rFonts w:hint="eastAsia" w:ascii="宋体" w:hAnsi="宋体"/>
          <w:sz w:val="24"/>
          <w:lang w:val="en-US" w:eastAsia="zh-CN"/>
        </w:rPr>
        <w:t>7</w:t>
      </w:r>
      <w:r>
        <w:rPr>
          <w:rFonts w:hint="eastAsia" w:ascii="宋体" w:hAnsi="宋体"/>
          <w:sz w:val="24"/>
        </w:rPr>
        <w:t>.1双方在签订、履行合同中所发生的一切争议，应通过友好协商解决。如协商不成，由甲方住所地人民法院管辖。</w:t>
      </w:r>
    </w:p>
    <w:p w14:paraId="287408D7">
      <w:pPr>
        <w:numPr>
          <w:ilvl w:val="0"/>
          <w:numId w:val="3"/>
        </w:numPr>
        <w:adjustRightInd w:val="0"/>
        <w:snapToGrid w:val="0"/>
        <w:spacing w:line="480" w:lineRule="exact"/>
        <w:ind w:firstLine="482" w:firstLineChars="200"/>
        <w:rPr>
          <w:rFonts w:hint="eastAsia" w:ascii="宋体" w:hAnsi="宋体"/>
          <w:b/>
          <w:bCs/>
          <w:sz w:val="24"/>
          <w:lang w:eastAsia="zh-CN"/>
        </w:rPr>
      </w:pPr>
      <w:r>
        <w:rPr>
          <w:rFonts w:hint="eastAsia" w:ascii="宋体" w:hAnsi="宋体"/>
          <w:b/>
          <w:bCs/>
          <w:sz w:val="24"/>
        </w:rPr>
        <w:t>合同生效及其</w:t>
      </w:r>
      <w:r>
        <w:rPr>
          <w:rFonts w:hint="eastAsia" w:ascii="宋体" w:hAnsi="宋体"/>
          <w:b/>
          <w:bCs/>
          <w:sz w:val="24"/>
          <w:lang w:eastAsia="zh-CN"/>
        </w:rPr>
        <w:t>他</w:t>
      </w:r>
    </w:p>
    <w:p w14:paraId="0232225C">
      <w:pPr>
        <w:numPr>
          <w:ilvl w:val="0"/>
          <w:numId w:val="0"/>
        </w:numPr>
        <w:adjustRightInd w:val="0"/>
        <w:snapToGrid w:val="0"/>
        <w:spacing w:line="480" w:lineRule="exact"/>
        <w:ind w:firstLine="480" w:firstLineChars="200"/>
        <w:rPr>
          <w:rFonts w:hint="eastAsia" w:ascii="宋体" w:hAnsi="宋体"/>
          <w:b/>
          <w:bCs/>
          <w:sz w:val="24"/>
          <w:lang w:eastAsia="zh-CN"/>
        </w:rPr>
      </w:pPr>
      <w:r>
        <w:rPr>
          <w:rFonts w:hint="eastAsia" w:ascii="宋体" w:hAnsi="宋体"/>
          <w:sz w:val="24"/>
          <w:szCs w:val="24"/>
          <w:lang w:val="en-US" w:eastAsia="zh-CN"/>
        </w:rPr>
        <w:t>18.1</w:t>
      </w:r>
      <w:r>
        <w:rPr>
          <w:rFonts w:hint="eastAsia" w:ascii="宋体" w:hAnsi="宋体"/>
          <w:sz w:val="24"/>
          <w:szCs w:val="24"/>
        </w:rPr>
        <w:t>本协议之签订与履行，不代表双方建立劳动关系、劳务关系、劳务派遣关系、雇佣关系或类似关系，甲方不向乙方承担任何雇主或用人单位性质的责任。</w:t>
      </w:r>
    </w:p>
    <w:p w14:paraId="062F7C48">
      <w:pPr>
        <w:adjustRightInd w:val="0"/>
        <w:snapToGrid w:val="0"/>
        <w:spacing w:line="480" w:lineRule="exact"/>
        <w:ind w:firstLine="480" w:firstLineChars="200"/>
        <w:rPr>
          <w:rFonts w:hint="eastAsia" w:ascii="宋体" w:hAnsi="宋体"/>
          <w:sz w:val="24"/>
        </w:rPr>
      </w:pPr>
      <w:r>
        <w:rPr>
          <w:rFonts w:hint="eastAsia" w:ascii="宋体" w:hAnsi="宋体"/>
          <w:sz w:val="24"/>
        </w:rPr>
        <w:t>1</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2</w:t>
      </w:r>
      <w:r>
        <w:rPr>
          <w:rFonts w:hint="eastAsia" w:ascii="宋体" w:hAnsi="宋体"/>
          <w:sz w:val="24"/>
        </w:rPr>
        <w:t xml:space="preserve"> 合同经双方法定代表人或授权委托代表人签字并加盖单位公章后生效。</w:t>
      </w:r>
    </w:p>
    <w:p w14:paraId="1D7E7E32">
      <w:pPr>
        <w:adjustRightInd w:val="0"/>
        <w:snapToGrid w:val="0"/>
        <w:spacing w:line="480" w:lineRule="exact"/>
        <w:ind w:firstLine="480" w:firstLineChars="200"/>
        <w:rPr>
          <w:rFonts w:hint="eastAsia" w:ascii="宋体" w:hAnsi="宋体"/>
          <w:sz w:val="24"/>
        </w:rPr>
      </w:pPr>
      <w:r>
        <w:rPr>
          <w:rFonts w:hint="eastAsia" w:ascii="宋体" w:hAnsi="宋体"/>
          <w:sz w:val="24"/>
        </w:rPr>
        <w:t>1</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3</w:t>
      </w:r>
      <w:r>
        <w:rPr>
          <w:rFonts w:hint="eastAsia" w:ascii="宋体" w:hAnsi="宋体"/>
          <w:sz w:val="24"/>
        </w:rPr>
        <w:t>本合同未尽事宜，遵照《民法典</w:t>
      </w:r>
      <w:r>
        <w:rPr>
          <w:rFonts w:hint="eastAsia" w:ascii="宋体" w:hAnsi="宋体"/>
          <w:sz w:val="24"/>
          <w:lang w:eastAsia="zh-CN"/>
        </w:rPr>
        <w:t>》《</w:t>
      </w:r>
      <w:r>
        <w:rPr>
          <w:rFonts w:hint="eastAsia" w:ascii="宋体" w:hAnsi="宋体"/>
          <w:sz w:val="24"/>
        </w:rPr>
        <w:t>政府采购法》有关条文执行。</w:t>
      </w:r>
    </w:p>
    <w:p w14:paraId="05EE0DB7">
      <w:pPr>
        <w:adjustRightInd w:val="0"/>
        <w:snapToGrid w:val="0"/>
        <w:spacing w:line="480" w:lineRule="exact"/>
        <w:ind w:firstLine="470" w:firstLineChars="196"/>
        <w:rPr>
          <w:rFonts w:ascii="宋体" w:hAnsi="宋体"/>
          <w:b w:val="0"/>
          <w:bCs/>
          <w:sz w:val="24"/>
        </w:rPr>
      </w:pPr>
      <w:r>
        <w:rPr>
          <w:rFonts w:hint="eastAsia" w:ascii="宋体" w:hAnsi="宋体"/>
          <w:sz w:val="24"/>
        </w:rPr>
        <w:t>1</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4</w:t>
      </w:r>
      <w:r>
        <w:rPr>
          <w:rFonts w:hint="eastAsia" w:ascii="宋体" w:hAnsi="宋体"/>
          <w:sz w:val="24"/>
        </w:rPr>
        <w:t>本合同正本一式</w:t>
      </w:r>
      <w:r>
        <w:rPr>
          <w:rFonts w:hint="eastAsia" w:ascii="宋体" w:hAnsi="宋体"/>
          <w:sz w:val="24"/>
          <w:lang w:val="en-US" w:eastAsia="zh-CN"/>
        </w:rPr>
        <w:t>陆</w:t>
      </w:r>
      <w:r>
        <w:rPr>
          <w:rFonts w:hint="eastAsia" w:ascii="宋体" w:hAnsi="宋体"/>
          <w:sz w:val="24"/>
        </w:rPr>
        <w:t>份，具有同等法律效力，</w:t>
      </w:r>
      <w:r>
        <w:rPr>
          <w:rFonts w:hint="eastAsia" w:ascii="宋体" w:hAnsi="宋体"/>
          <w:b w:val="0"/>
          <w:bCs/>
          <w:sz w:val="24"/>
        </w:rPr>
        <w:t>甲方、乙方各执贰份，代理公司存档贰份。</w:t>
      </w:r>
    </w:p>
    <w:p w14:paraId="5CADB6D0">
      <w:pPr>
        <w:adjustRightInd w:val="0"/>
        <w:snapToGrid w:val="0"/>
        <w:spacing w:line="480" w:lineRule="exact"/>
        <w:ind w:firstLine="480" w:firstLineChars="200"/>
        <w:rPr>
          <w:rFonts w:hint="eastAsia" w:ascii="宋体" w:hAnsi="宋体"/>
          <w:sz w:val="24"/>
        </w:rPr>
      </w:pPr>
    </w:p>
    <w:p w14:paraId="2F17DBFA">
      <w:pPr>
        <w:pStyle w:val="16"/>
        <w:spacing w:before="120" w:beforeAutospacing="0" w:after="120" w:afterAutospacing="0" w:line="0" w:lineRule="atLeast"/>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5460B161">
      <w:pPr>
        <w:pStyle w:val="13"/>
        <w:snapToGrid w:val="0"/>
        <w:spacing w:before="120" w:after="120" w:line="500" w:lineRule="exact"/>
        <w:ind w:left="480" w:hanging="480"/>
        <w:rPr>
          <w:rFonts w:hAnsi="宋体"/>
          <w:sz w:val="24"/>
          <w:szCs w:val="24"/>
        </w:rPr>
      </w:pPr>
      <w:bookmarkStart w:id="161" w:name="_Toc120614244"/>
      <w:bookmarkStart w:id="162" w:name="_Toc16938590"/>
      <w:bookmarkStart w:id="163" w:name="_Toc479757211"/>
      <w:bookmarkStart w:id="164" w:name="_Toc20823346"/>
      <w:bookmarkStart w:id="165" w:name="_Toc462564139"/>
      <w:bookmarkStart w:id="166" w:name="_Hlt16619350"/>
      <w:bookmarkStart w:id="167" w:name="_Hlt16619369"/>
      <w:r>
        <w:rPr>
          <w:rFonts w:hAnsi="宋体"/>
          <w:sz w:val="24"/>
          <w:szCs w:val="24"/>
        </w:rPr>
        <w:t xml:space="preserve"> 甲方：                                   乙方： </w:t>
      </w:r>
    </w:p>
    <w:p w14:paraId="1C81C06A">
      <w:pPr>
        <w:pStyle w:val="13"/>
        <w:snapToGrid w:val="0"/>
        <w:spacing w:before="120" w:after="120" w:line="500" w:lineRule="exact"/>
        <w:rPr>
          <w:rFonts w:hAnsi="宋体"/>
          <w:sz w:val="24"/>
          <w:szCs w:val="24"/>
        </w:rPr>
      </w:pPr>
      <w:r>
        <w:rPr>
          <w:rFonts w:hAnsi="宋体"/>
          <w:sz w:val="24"/>
          <w:szCs w:val="24"/>
        </w:rPr>
        <w:t xml:space="preserve">  地址：                                   地址： </w:t>
      </w:r>
    </w:p>
    <w:p w14:paraId="38BF64BF">
      <w:pPr>
        <w:pStyle w:val="13"/>
        <w:snapToGrid w:val="0"/>
        <w:spacing w:before="120" w:after="120" w:line="500" w:lineRule="exact"/>
        <w:rPr>
          <w:rFonts w:hAnsi="宋体"/>
          <w:sz w:val="24"/>
          <w:szCs w:val="24"/>
        </w:rPr>
      </w:pPr>
      <w:r>
        <w:rPr>
          <w:rFonts w:hAnsi="宋体"/>
          <w:sz w:val="24"/>
          <w:szCs w:val="24"/>
        </w:rPr>
        <w:t xml:space="preserve">  法定代表人或授权代表：                   法定代表人或授权代表：</w:t>
      </w:r>
    </w:p>
    <w:p w14:paraId="15BD9832">
      <w:pPr>
        <w:pStyle w:val="13"/>
        <w:snapToGrid w:val="0"/>
        <w:spacing w:before="120" w:after="120" w:line="500" w:lineRule="exact"/>
        <w:ind w:left="1199" w:leftChars="114" w:hanging="960" w:hangingChars="400"/>
        <w:rPr>
          <w:rFonts w:hAnsi="宋体"/>
          <w:sz w:val="24"/>
          <w:szCs w:val="24"/>
        </w:rPr>
        <w:sectPr>
          <w:footerReference r:id="rId5" w:type="first"/>
          <w:footerReference r:id="rId4" w:type="default"/>
          <w:pgSz w:w="11906" w:h="16838"/>
          <w:pgMar w:top="1440" w:right="1080" w:bottom="1440" w:left="1080" w:header="851" w:footer="907" w:gutter="0"/>
          <w:pgNumType w:fmt="decimal" w:start="1"/>
          <w:cols w:space="720" w:num="1"/>
          <w:titlePg/>
          <w:docGrid w:linePitch="360" w:charSpace="0"/>
        </w:sectPr>
      </w:pPr>
      <w:r>
        <w:rPr>
          <w:rFonts w:hAnsi="宋体"/>
          <w:sz w:val="24"/>
          <w:szCs w:val="24"/>
        </w:rPr>
        <w:t>联系电话：                               联系电话：</w:t>
      </w:r>
      <w:r>
        <w:rPr>
          <w:rFonts w:hAnsi="宋体"/>
          <w:sz w:val="24"/>
          <w:szCs w:val="24"/>
        </w:rPr>
        <w:br w:type="textWrapping"/>
      </w:r>
      <w:r>
        <w:rPr>
          <w:rFonts w:hAnsi="宋体"/>
          <w:sz w:val="24"/>
          <w:szCs w:val="24"/>
        </w:rPr>
        <w:t xml:space="preserve">  年   月   日                             年   月   日</w:t>
      </w:r>
    </w:p>
    <w:p w14:paraId="25848178">
      <w:pPr>
        <w:pStyle w:val="24"/>
        <w:jc w:val="center"/>
        <w:rPr>
          <w:rFonts w:ascii="宋体" w:hAnsi="宋体" w:cs="宋体"/>
        </w:rPr>
      </w:pPr>
      <w:r>
        <w:rPr>
          <w:rFonts w:hint="eastAsia" w:ascii="宋体" w:hAnsi="宋体" w:cs="宋体"/>
          <w:b/>
          <w:spacing w:val="-10"/>
          <w:sz w:val="36"/>
          <w:szCs w:val="36"/>
        </w:rPr>
        <w:t>亭湖区2025年“七鱼三菜两蛋”专项农贸市场快检服务项目考核表</w:t>
      </w:r>
    </w:p>
    <w:p w14:paraId="6767A11F">
      <w:pPr>
        <w:spacing w:line="320" w:lineRule="exact"/>
        <w:jc w:val="left"/>
        <w:rPr>
          <w:rFonts w:hAnsi="宋体"/>
          <w:sz w:val="24"/>
        </w:rPr>
      </w:pPr>
      <w:r>
        <w:rPr>
          <w:rFonts w:hint="eastAsia" w:ascii="宋体" w:hAnsi="宋体" w:cs="宋体"/>
          <w:sz w:val="24"/>
        </w:rPr>
        <w:t>考核部门：                                   考核日期：    年    月    日至     年    月    日</w:t>
      </w:r>
    </w:p>
    <w:tbl>
      <w:tblPr>
        <w:tblStyle w:val="17"/>
        <w:tblW w:w="14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0231"/>
        <w:gridCol w:w="1040"/>
        <w:gridCol w:w="1203"/>
        <w:gridCol w:w="1092"/>
      </w:tblGrid>
      <w:tr w14:paraId="1DDF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79" w:type="dxa"/>
            <w:vAlign w:val="center"/>
          </w:tcPr>
          <w:p w14:paraId="0D9D1BE0">
            <w:pPr>
              <w:widowControl/>
              <w:spacing w:line="300" w:lineRule="exact"/>
              <w:jc w:val="center"/>
              <w:rPr>
                <w:rFonts w:ascii="宋体" w:hAnsi="宋体" w:cs="宋体"/>
                <w:sz w:val="24"/>
              </w:rPr>
            </w:pPr>
            <w:r>
              <w:rPr>
                <w:rFonts w:hint="eastAsia" w:ascii="宋体" w:hAnsi="宋体" w:cs="宋体"/>
                <w:sz w:val="24"/>
              </w:rPr>
              <w:t>序号</w:t>
            </w:r>
          </w:p>
        </w:tc>
        <w:tc>
          <w:tcPr>
            <w:tcW w:w="10231" w:type="dxa"/>
            <w:noWrap/>
            <w:vAlign w:val="center"/>
          </w:tcPr>
          <w:p w14:paraId="5F430C48">
            <w:pPr>
              <w:widowControl/>
              <w:spacing w:line="300" w:lineRule="exact"/>
              <w:jc w:val="center"/>
              <w:rPr>
                <w:rFonts w:ascii="宋体" w:hAnsi="宋体" w:cs="宋体"/>
                <w:sz w:val="24"/>
              </w:rPr>
            </w:pPr>
            <w:r>
              <w:rPr>
                <w:rFonts w:hint="eastAsia" w:ascii="宋体" w:hAnsi="宋体" w:cs="宋体"/>
                <w:sz w:val="24"/>
              </w:rPr>
              <w:t>考    核    标    准</w:t>
            </w:r>
          </w:p>
        </w:tc>
        <w:tc>
          <w:tcPr>
            <w:tcW w:w="1040" w:type="dxa"/>
            <w:noWrap/>
            <w:vAlign w:val="center"/>
          </w:tcPr>
          <w:p w14:paraId="2A3B10EE">
            <w:pPr>
              <w:widowControl/>
              <w:spacing w:line="300" w:lineRule="exact"/>
              <w:jc w:val="center"/>
              <w:rPr>
                <w:rFonts w:ascii="宋体" w:hAnsi="宋体" w:cs="宋体"/>
                <w:sz w:val="24"/>
              </w:rPr>
            </w:pPr>
            <w:r>
              <w:rPr>
                <w:rFonts w:hint="eastAsia" w:ascii="宋体" w:hAnsi="宋体" w:cs="宋体"/>
                <w:sz w:val="24"/>
              </w:rPr>
              <w:t>考核情况</w:t>
            </w:r>
          </w:p>
        </w:tc>
        <w:tc>
          <w:tcPr>
            <w:tcW w:w="1203" w:type="dxa"/>
            <w:noWrap/>
            <w:vAlign w:val="center"/>
          </w:tcPr>
          <w:p w14:paraId="37054E15">
            <w:pPr>
              <w:widowControl/>
              <w:spacing w:line="300" w:lineRule="exact"/>
              <w:jc w:val="center"/>
              <w:rPr>
                <w:rFonts w:ascii="宋体" w:hAnsi="宋体" w:cs="宋体"/>
                <w:sz w:val="24"/>
              </w:rPr>
            </w:pPr>
            <w:r>
              <w:rPr>
                <w:rFonts w:hint="eastAsia" w:ascii="宋体" w:hAnsi="宋体" w:cs="宋体"/>
                <w:sz w:val="24"/>
              </w:rPr>
              <w:t>扣款（元）</w:t>
            </w:r>
          </w:p>
        </w:tc>
        <w:tc>
          <w:tcPr>
            <w:tcW w:w="1092" w:type="dxa"/>
            <w:noWrap/>
            <w:vAlign w:val="center"/>
          </w:tcPr>
          <w:p w14:paraId="61914A60">
            <w:pPr>
              <w:widowControl/>
              <w:spacing w:line="300" w:lineRule="exact"/>
              <w:jc w:val="center"/>
              <w:rPr>
                <w:rFonts w:ascii="宋体" w:hAnsi="宋体" w:cs="宋体"/>
                <w:sz w:val="24"/>
              </w:rPr>
            </w:pPr>
            <w:r>
              <w:rPr>
                <w:rFonts w:hint="eastAsia" w:ascii="宋体" w:hAnsi="宋体" w:cs="宋体"/>
                <w:sz w:val="24"/>
              </w:rPr>
              <w:t>备注</w:t>
            </w:r>
          </w:p>
        </w:tc>
      </w:tr>
      <w:tr w14:paraId="3172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879" w:type="dxa"/>
            <w:vAlign w:val="center"/>
          </w:tcPr>
          <w:p w14:paraId="18DD0847">
            <w:pPr>
              <w:widowControl/>
              <w:spacing w:line="300" w:lineRule="exact"/>
              <w:jc w:val="center"/>
              <w:rPr>
                <w:rFonts w:ascii="宋体" w:hAnsi="宋体" w:cs="宋体"/>
                <w:sz w:val="24"/>
              </w:rPr>
            </w:pPr>
            <w:r>
              <w:rPr>
                <w:rFonts w:hint="eastAsia" w:ascii="宋体" w:hAnsi="宋体" w:cs="宋体"/>
                <w:sz w:val="24"/>
              </w:rPr>
              <w:t>1</w:t>
            </w:r>
          </w:p>
        </w:tc>
        <w:tc>
          <w:tcPr>
            <w:tcW w:w="10231" w:type="dxa"/>
            <w:noWrap/>
            <w:vAlign w:val="center"/>
          </w:tcPr>
          <w:p w14:paraId="729348EF">
            <w:pPr>
              <w:widowControl/>
              <w:spacing w:line="300" w:lineRule="exact"/>
              <w:jc w:val="left"/>
              <w:rPr>
                <w:rFonts w:ascii="宋体" w:hAnsi="宋体" w:cs="宋体"/>
                <w:sz w:val="22"/>
                <w:szCs w:val="22"/>
              </w:rPr>
            </w:pPr>
            <w:r>
              <w:rPr>
                <w:rFonts w:hint="eastAsia" w:ascii="宋体" w:hAnsi="宋体" w:cs="宋体"/>
                <w:b/>
                <w:bCs/>
                <w:sz w:val="22"/>
                <w:szCs w:val="22"/>
              </w:rPr>
              <w:t>检测试剂及耗材数量在送达快检中心，应当由甲方、乙方工作人员三方人员签字确认。如无签字确认的相关材料，试剂对应的快检批次费用不予结算。</w:t>
            </w:r>
          </w:p>
        </w:tc>
        <w:tc>
          <w:tcPr>
            <w:tcW w:w="1040" w:type="dxa"/>
            <w:noWrap/>
            <w:vAlign w:val="center"/>
          </w:tcPr>
          <w:p w14:paraId="1761DB0F">
            <w:pPr>
              <w:widowControl/>
              <w:jc w:val="center"/>
              <w:rPr>
                <w:rFonts w:ascii="宋体" w:hAnsi="宋体" w:cs="宋体"/>
                <w:sz w:val="24"/>
              </w:rPr>
            </w:pPr>
          </w:p>
        </w:tc>
        <w:tc>
          <w:tcPr>
            <w:tcW w:w="1203" w:type="dxa"/>
            <w:noWrap/>
            <w:vAlign w:val="center"/>
          </w:tcPr>
          <w:p w14:paraId="201D8706">
            <w:pPr>
              <w:widowControl/>
              <w:jc w:val="center"/>
              <w:rPr>
                <w:rFonts w:ascii="宋体" w:hAnsi="宋体" w:cs="宋体"/>
                <w:sz w:val="24"/>
              </w:rPr>
            </w:pPr>
          </w:p>
        </w:tc>
        <w:tc>
          <w:tcPr>
            <w:tcW w:w="1092" w:type="dxa"/>
            <w:noWrap/>
            <w:vAlign w:val="center"/>
          </w:tcPr>
          <w:p w14:paraId="27D1A9FA">
            <w:pPr>
              <w:widowControl/>
              <w:jc w:val="center"/>
              <w:rPr>
                <w:rFonts w:ascii="宋体" w:hAnsi="宋体" w:cs="宋体"/>
                <w:sz w:val="24"/>
              </w:rPr>
            </w:pPr>
          </w:p>
        </w:tc>
      </w:tr>
      <w:tr w14:paraId="5D4E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879" w:type="dxa"/>
            <w:vAlign w:val="center"/>
          </w:tcPr>
          <w:p w14:paraId="16DE3B05">
            <w:pPr>
              <w:widowControl/>
              <w:spacing w:line="300" w:lineRule="exact"/>
              <w:jc w:val="center"/>
              <w:rPr>
                <w:rFonts w:ascii="宋体" w:hAnsi="宋体" w:cs="宋体"/>
                <w:sz w:val="24"/>
              </w:rPr>
            </w:pPr>
            <w:r>
              <w:rPr>
                <w:rFonts w:hint="eastAsia" w:ascii="宋体" w:hAnsi="宋体" w:cs="宋体"/>
                <w:sz w:val="24"/>
              </w:rPr>
              <w:t>2</w:t>
            </w:r>
          </w:p>
        </w:tc>
        <w:tc>
          <w:tcPr>
            <w:tcW w:w="10231" w:type="dxa"/>
            <w:vAlign w:val="center"/>
          </w:tcPr>
          <w:p w14:paraId="668AF147">
            <w:pPr>
              <w:widowControl/>
              <w:spacing w:line="300" w:lineRule="exact"/>
              <w:jc w:val="left"/>
              <w:rPr>
                <w:rFonts w:ascii="宋体" w:hAnsi="宋体" w:cs="宋体"/>
                <w:sz w:val="22"/>
                <w:szCs w:val="22"/>
              </w:rPr>
            </w:pPr>
            <w:r>
              <w:rPr>
                <w:rFonts w:hint="eastAsia" w:ascii="宋体" w:hAnsi="宋体" w:cs="宋体"/>
                <w:sz w:val="22"/>
                <w:szCs w:val="22"/>
              </w:rPr>
              <w:t>检测试剂及耗材均应当在有效期内，且符合储存要求，每季度抽查一次，如发现过期检测试剂或者未按规定条件存储检测试剂的，有一次扣除5000元。超过4次，甲方有权单方面解除合同。</w:t>
            </w:r>
          </w:p>
        </w:tc>
        <w:tc>
          <w:tcPr>
            <w:tcW w:w="1040" w:type="dxa"/>
            <w:noWrap/>
            <w:vAlign w:val="center"/>
          </w:tcPr>
          <w:p w14:paraId="7B570F0D">
            <w:pPr>
              <w:widowControl/>
              <w:jc w:val="center"/>
              <w:rPr>
                <w:rFonts w:ascii="宋体" w:hAnsi="宋体" w:cs="宋体"/>
                <w:sz w:val="24"/>
              </w:rPr>
            </w:pPr>
          </w:p>
        </w:tc>
        <w:tc>
          <w:tcPr>
            <w:tcW w:w="1203" w:type="dxa"/>
            <w:noWrap/>
            <w:vAlign w:val="center"/>
          </w:tcPr>
          <w:p w14:paraId="55E952E4">
            <w:pPr>
              <w:widowControl/>
              <w:jc w:val="center"/>
              <w:rPr>
                <w:rFonts w:ascii="宋体" w:hAnsi="宋体" w:cs="宋体"/>
                <w:sz w:val="24"/>
              </w:rPr>
            </w:pPr>
            <w:r>
              <w:rPr>
                <w:rFonts w:hint="eastAsia" w:ascii="宋体" w:hAnsi="宋体" w:cs="宋体"/>
                <w:sz w:val="24"/>
              </w:rPr>
              <w:t>　</w:t>
            </w:r>
          </w:p>
        </w:tc>
        <w:tc>
          <w:tcPr>
            <w:tcW w:w="1092" w:type="dxa"/>
            <w:noWrap/>
            <w:vAlign w:val="center"/>
          </w:tcPr>
          <w:p w14:paraId="731DE7B1">
            <w:pPr>
              <w:widowControl/>
              <w:jc w:val="center"/>
              <w:rPr>
                <w:rFonts w:ascii="宋体" w:hAnsi="宋体" w:cs="宋体"/>
                <w:sz w:val="24"/>
              </w:rPr>
            </w:pPr>
            <w:r>
              <w:rPr>
                <w:rFonts w:hint="eastAsia" w:ascii="宋体" w:hAnsi="宋体" w:cs="宋体"/>
                <w:sz w:val="24"/>
              </w:rPr>
              <w:t>　</w:t>
            </w:r>
          </w:p>
        </w:tc>
      </w:tr>
      <w:tr w14:paraId="251C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9" w:type="dxa"/>
            <w:vAlign w:val="center"/>
          </w:tcPr>
          <w:p w14:paraId="2243379F">
            <w:pPr>
              <w:widowControl/>
              <w:spacing w:line="300" w:lineRule="exact"/>
              <w:jc w:val="center"/>
              <w:rPr>
                <w:rFonts w:ascii="宋体" w:hAnsi="宋体" w:cs="宋体"/>
                <w:sz w:val="24"/>
              </w:rPr>
            </w:pPr>
            <w:r>
              <w:rPr>
                <w:rFonts w:hint="eastAsia" w:ascii="宋体" w:hAnsi="宋体" w:cs="宋体"/>
                <w:sz w:val="24"/>
              </w:rPr>
              <w:t>3</w:t>
            </w:r>
          </w:p>
        </w:tc>
        <w:tc>
          <w:tcPr>
            <w:tcW w:w="10231" w:type="dxa"/>
            <w:noWrap/>
            <w:vAlign w:val="center"/>
          </w:tcPr>
          <w:p w14:paraId="07B980AB">
            <w:pPr>
              <w:widowControl/>
              <w:spacing w:line="300" w:lineRule="exact"/>
              <w:jc w:val="left"/>
              <w:rPr>
                <w:rFonts w:ascii="宋体" w:hAnsi="宋体" w:cs="宋体"/>
                <w:sz w:val="22"/>
                <w:szCs w:val="22"/>
              </w:rPr>
            </w:pPr>
            <w:r>
              <w:rPr>
                <w:rFonts w:hint="eastAsia" w:ascii="宋体" w:hAnsi="宋体" w:cs="宋体"/>
                <w:sz w:val="22"/>
                <w:szCs w:val="22"/>
              </w:rPr>
              <w:t>每季度开展一次胶体金检测结果对照，每次至少抽取10批次的食用农产品进行法检与快检，准确率需达80%以上。低于80%，高于60%，扣2000元；低于60%，高于40%，扣5000元；低于40%，甲方有权单方面解除合同。每季度考核快检不合格率，胶体金快检（畜禽肉除外）不合格率需达到千分之一以上，少万分之一个点扣2000元，每季度胶体金无阳性率甲方有权单方面解除合同。</w:t>
            </w:r>
          </w:p>
        </w:tc>
        <w:tc>
          <w:tcPr>
            <w:tcW w:w="1040" w:type="dxa"/>
            <w:noWrap/>
            <w:vAlign w:val="center"/>
          </w:tcPr>
          <w:p w14:paraId="7289D28C">
            <w:pPr>
              <w:widowControl/>
              <w:jc w:val="center"/>
              <w:rPr>
                <w:rFonts w:ascii="宋体" w:hAnsi="宋体" w:cs="宋体"/>
                <w:sz w:val="24"/>
              </w:rPr>
            </w:pPr>
          </w:p>
        </w:tc>
        <w:tc>
          <w:tcPr>
            <w:tcW w:w="1203" w:type="dxa"/>
            <w:noWrap/>
            <w:vAlign w:val="center"/>
          </w:tcPr>
          <w:p w14:paraId="2C5F2811">
            <w:pPr>
              <w:widowControl/>
              <w:jc w:val="center"/>
              <w:rPr>
                <w:rFonts w:ascii="宋体" w:hAnsi="宋体" w:cs="宋体"/>
                <w:sz w:val="24"/>
              </w:rPr>
            </w:pPr>
            <w:r>
              <w:rPr>
                <w:rFonts w:hint="eastAsia" w:ascii="宋体" w:hAnsi="宋体" w:cs="宋体"/>
                <w:sz w:val="24"/>
              </w:rPr>
              <w:t>　</w:t>
            </w:r>
          </w:p>
        </w:tc>
        <w:tc>
          <w:tcPr>
            <w:tcW w:w="1092" w:type="dxa"/>
            <w:noWrap/>
            <w:vAlign w:val="center"/>
          </w:tcPr>
          <w:p w14:paraId="5990DA88">
            <w:pPr>
              <w:widowControl/>
              <w:jc w:val="center"/>
              <w:rPr>
                <w:rFonts w:ascii="宋体" w:hAnsi="宋体" w:cs="宋体"/>
                <w:sz w:val="24"/>
              </w:rPr>
            </w:pPr>
            <w:r>
              <w:rPr>
                <w:rFonts w:hint="eastAsia" w:ascii="宋体" w:hAnsi="宋体" w:cs="宋体"/>
                <w:sz w:val="24"/>
              </w:rPr>
              <w:t>　</w:t>
            </w:r>
          </w:p>
        </w:tc>
      </w:tr>
      <w:tr w14:paraId="5661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879" w:type="dxa"/>
            <w:vAlign w:val="center"/>
          </w:tcPr>
          <w:p w14:paraId="51D0D671">
            <w:pPr>
              <w:widowControl/>
              <w:spacing w:line="300" w:lineRule="exact"/>
              <w:jc w:val="center"/>
              <w:rPr>
                <w:rFonts w:ascii="宋体" w:hAnsi="宋体" w:cs="宋体"/>
                <w:sz w:val="24"/>
              </w:rPr>
            </w:pPr>
            <w:r>
              <w:rPr>
                <w:rFonts w:hint="eastAsia" w:ascii="宋体" w:hAnsi="宋体" w:cs="宋体"/>
                <w:sz w:val="24"/>
              </w:rPr>
              <w:t>4</w:t>
            </w:r>
          </w:p>
        </w:tc>
        <w:tc>
          <w:tcPr>
            <w:tcW w:w="10231" w:type="dxa"/>
            <w:noWrap/>
            <w:vAlign w:val="center"/>
          </w:tcPr>
          <w:p w14:paraId="53BF8CF5">
            <w:pPr>
              <w:widowControl/>
              <w:spacing w:line="300" w:lineRule="exact"/>
              <w:jc w:val="left"/>
              <w:rPr>
                <w:rFonts w:ascii="宋体" w:hAnsi="宋体" w:cs="宋体"/>
                <w:sz w:val="22"/>
                <w:szCs w:val="22"/>
              </w:rPr>
            </w:pPr>
            <w:r>
              <w:rPr>
                <w:rFonts w:hint="eastAsia" w:ascii="宋体" w:hAnsi="宋体" w:cs="宋体"/>
                <w:sz w:val="22"/>
                <w:szCs w:val="22"/>
              </w:rPr>
              <w:t>快检阳性批次应当及时报告甲方，并协助甲方做好对应批次食用农产品的法检工作，保存好快检阳性食用农产品下架和销毁记录（含照片或者视频），有1批次无法提供相应记录的扣5000元。</w:t>
            </w:r>
          </w:p>
        </w:tc>
        <w:tc>
          <w:tcPr>
            <w:tcW w:w="1040" w:type="dxa"/>
            <w:noWrap/>
            <w:vAlign w:val="center"/>
          </w:tcPr>
          <w:p w14:paraId="768F8006">
            <w:pPr>
              <w:widowControl/>
              <w:jc w:val="center"/>
              <w:rPr>
                <w:rFonts w:ascii="宋体" w:hAnsi="宋体" w:cs="宋体"/>
                <w:sz w:val="24"/>
              </w:rPr>
            </w:pPr>
          </w:p>
        </w:tc>
        <w:tc>
          <w:tcPr>
            <w:tcW w:w="1203" w:type="dxa"/>
            <w:noWrap/>
            <w:vAlign w:val="center"/>
          </w:tcPr>
          <w:p w14:paraId="7A2F4B08">
            <w:pPr>
              <w:widowControl/>
              <w:jc w:val="center"/>
              <w:rPr>
                <w:rFonts w:ascii="宋体" w:hAnsi="宋体" w:cs="宋体"/>
                <w:sz w:val="24"/>
              </w:rPr>
            </w:pPr>
            <w:r>
              <w:rPr>
                <w:rFonts w:hint="eastAsia" w:ascii="宋体" w:hAnsi="宋体" w:cs="宋体"/>
                <w:sz w:val="24"/>
              </w:rPr>
              <w:t>　</w:t>
            </w:r>
          </w:p>
        </w:tc>
        <w:tc>
          <w:tcPr>
            <w:tcW w:w="1092" w:type="dxa"/>
            <w:noWrap/>
            <w:vAlign w:val="center"/>
          </w:tcPr>
          <w:p w14:paraId="035E5EA2">
            <w:pPr>
              <w:widowControl/>
              <w:jc w:val="center"/>
              <w:rPr>
                <w:rFonts w:ascii="宋体" w:hAnsi="宋体" w:cs="宋体"/>
                <w:sz w:val="24"/>
              </w:rPr>
            </w:pPr>
            <w:r>
              <w:rPr>
                <w:rFonts w:hint="eastAsia" w:ascii="宋体" w:hAnsi="宋体" w:cs="宋体"/>
                <w:sz w:val="24"/>
              </w:rPr>
              <w:t>　</w:t>
            </w:r>
          </w:p>
        </w:tc>
      </w:tr>
      <w:tr w14:paraId="0F0F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879" w:type="dxa"/>
            <w:vAlign w:val="center"/>
          </w:tcPr>
          <w:p w14:paraId="649E2528">
            <w:pPr>
              <w:widowControl/>
              <w:spacing w:line="300" w:lineRule="exact"/>
              <w:jc w:val="center"/>
              <w:rPr>
                <w:rFonts w:ascii="宋体" w:hAnsi="宋体" w:cs="宋体"/>
                <w:sz w:val="24"/>
              </w:rPr>
            </w:pPr>
            <w:r>
              <w:rPr>
                <w:rFonts w:hint="eastAsia" w:ascii="宋体" w:hAnsi="宋体" w:cs="宋体"/>
                <w:sz w:val="24"/>
              </w:rPr>
              <w:t>5</w:t>
            </w:r>
          </w:p>
        </w:tc>
        <w:tc>
          <w:tcPr>
            <w:tcW w:w="10231" w:type="dxa"/>
            <w:noWrap/>
            <w:vAlign w:val="center"/>
          </w:tcPr>
          <w:p w14:paraId="22044B52">
            <w:pPr>
              <w:widowControl/>
              <w:spacing w:line="300" w:lineRule="exact"/>
              <w:jc w:val="left"/>
              <w:rPr>
                <w:rFonts w:ascii="宋体" w:hAnsi="宋体" w:cs="宋体"/>
                <w:sz w:val="22"/>
                <w:szCs w:val="22"/>
              </w:rPr>
            </w:pPr>
            <w:r>
              <w:rPr>
                <w:rFonts w:hint="eastAsia" w:ascii="宋体" w:hAnsi="宋体" w:cs="宋体"/>
                <w:sz w:val="22"/>
                <w:szCs w:val="22"/>
              </w:rPr>
              <w:t>每季度开展一次快检数据筛查，对各农贸市场市场快检批次数进行统计汇总，每发现有1家农贸市场快检批次数量误差超过5%的，扣除1000元。</w:t>
            </w:r>
          </w:p>
        </w:tc>
        <w:tc>
          <w:tcPr>
            <w:tcW w:w="1040" w:type="dxa"/>
            <w:noWrap/>
            <w:vAlign w:val="center"/>
          </w:tcPr>
          <w:p w14:paraId="19CA4FD3">
            <w:pPr>
              <w:widowControl/>
              <w:jc w:val="center"/>
              <w:rPr>
                <w:rFonts w:ascii="宋体" w:hAnsi="宋体" w:cs="宋体"/>
                <w:sz w:val="24"/>
              </w:rPr>
            </w:pPr>
          </w:p>
        </w:tc>
        <w:tc>
          <w:tcPr>
            <w:tcW w:w="1203" w:type="dxa"/>
            <w:noWrap/>
            <w:vAlign w:val="center"/>
          </w:tcPr>
          <w:p w14:paraId="01650CA0">
            <w:pPr>
              <w:widowControl/>
              <w:jc w:val="center"/>
              <w:rPr>
                <w:rFonts w:ascii="宋体" w:hAnsi="宋体" w:cs="宋体"/>
                <w:sz w:val="24"/>
              </w:rPr>
            </w:pPr>
            <w:r>
              <w:rPr>
                <w:rFonts w:hint="eastAsia" w:ascii="宋体" w:hAnsi="宋体" w:cs="宋体"/>
                <w:sz w:val="24"/>
              </w:rPr>
              <w:t>　</w:t>
            </w:r>
          </w:p>
        </w:tc>
        <w:tc>
          <w:tcPr>
            <w:tcW w:w="1092" w:type="dxa"/>
            <w:noWrap/>
            <w:vAlign w:val="center"/>
          </w:tcPr>
          <w:p w14:paraId="1CA207BB">
            <w:pPr>
              <w:widowControl/>
              <w:jc w:val="center"/>
              <w:rPr>
                <w:rFonts w:ascii="宋体" w:hAnsi="宋体" w:cs="宋体"/>
                <w:sz w:val="24"/>
              </w:rPr>
            </w:pPr>
            <w:r>
              <w:rPr>
                <w:rFonts w:hint="eastAsia" w:ascii="宋体" w:hAnsi="宋体" w:cs="宋体"/>
                <w:sz w:val="24"/>
              </w:rPr>
              <w:t>　</w:t>
            </w:r>
          </w:p>
        </w:tc>
      </w:tr>
      <w:tr w14:paraId="01A0E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79" w:type="dxa"/>
            <w:vAlign w:val="center"/>
          </w:tcPr>
          <w:p w14:paraId="592A7D06">
            <w:pPr>
              <w:widowControl/>
              <w:spacing w:line="300" w:lineRule="exact"/>
              <w:jc w:val="center"/>
              <w:rPr>
                <w:rFonts w:ascii="宋体" w:hAnsi="宋体" w:cs="宋体"/>
                <w:sz w:val="24"/>
              </w:rPr>
            </w:pPr>
            <w:r>
              <w:rPr>
                <w:rFonts w:hint="eastAsia" w:ascii="宋体" w:hAnsi="宋体" w:cs="宋体"/>
                <w:sz w:val="24"/>
              </w:rPr>
              <w:t>6</w:t>
            </w:r>
          </w:p>
        </w:tc>
        <w:tc>
          <w:tcPr>
            <w:tcW w:w="10231" w:type="dxa"/>
            <w:noWrap/>
            <w:vAlign w:val="center"/>
          </w:tcPr>
          <w:p w14:paraId="4E0B22B0">
            <w:pPr>
              <w:widowControl/>
              <w:spacing w:line="300" w:lineRule="exact"/>
              <w:jc w:val="left"/>
              <w:rPr>
                <w:rFonts w:ascii="宋体" w:hAnsi="宋体" w:cs="宋体"/>
                <w:sz w:val="22"/>
                <w:szCs w:val="22"/>
              </w:rPr>
            </w:pPr>
            <w:r>
              <w:rPr>
                <w:rFonts w:hint="eastAsia" w:ascii="宋体" w:hAnsi="宋体" w:cs="宋体"/>
                <w:sz w:val="22"/>
                <w:szCs w:val="22"/>
              </w:rPr>
              <w:t>农贸市场经营状况发生重大变化，如市场主办方发生变更、市场暂停经营等状况的应当及时报告甲方，有一次未报告的扣除5000元。</w:t>
            </w:r>
          </w:p>
        </w:tc>
        <w:tc>
          <w:tcPr>
            <w:tcW w:w="1040" w:type="dxa"/>
            <w:noWrap/>
            <w:vAlign w:val="center"/>
          </w:tcPr>
          <w:p w14:paraId="1C3E9175">
            <w:pPr>
              <w:widowControl/>
              <w:jc w:val="center"/>
              <w:rPr>
                <w:rFonts w:ascii="宋体" w:hAnsi="宋体" w:cs="宋体"/>
                <w:sz w:val="24"/>
              </w:rPr>
            </w:pPr>
          </w:p>
        </w:tc>
        <w:tc>
          <w:tcPr>
            <w:tcW w:w="1203" w:type="dxa"/>
            <w:noWrap/>
            <w:vAlign w:val="center"/>
          </w:tcPr>
          <w:p w14:paraId="275EEEFA">
            <w:pPr>
              <w:widowControl/>
              <w:jc w:val="center"/>
              <w:rPr>
                <w:rFonts w:ascii="宋体" w:hAnsi="宋体" w:cs="宋体"/>
                <w:sz w:val="24"/>
              </w:rPr>
            </w:pPr>
          </w:p>
        </w:tc>
        <w:tc>
          <w:tcPr>
            <w:tcW w:w="1092" w:type="dxa"/>
            <w:noWrap/>
            <w:vAlign w:val="center"/>
          </w:tcPr>
          <w:p w14:paraId="0002AC83">
            <w:pPr>
              <w:widowControl/>
              <w:jc w:val="center"/>
              <w:rPr>
                <w:rFonts w:ascii="宋体" w:hAnsi="宋体" w:cs="宋体"/>
                <w:sz w:val="24"/>
              </w:rPr>
            </w:pPr>
          </w:p>
        </w:tc>
      </w:tr>
      <w:tr w14:paraId="5833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Align w:val="center"/>
          </w:tcPr>
          <w:p w14:paraId="13C5F0BA">
            <w:pPr>
              <w:widowControl/>
              <w:spacing w:line="300" w:lineRule="exact"/>
              <w:jc w:val="center"/>
              <w:rPr>
                <w:rFonts w:ascii="宋体" w:hAnsi="宋体" w:cs="宋体"/>
                <w:sz w:val="24"/>
              </w:rPr>
            </w:pPr>
            <w:r>
              <w:rPr>
                <w:rFonts w:hint="eastAsia" w:ascii="宋体" w:hAnsi="宋体" w:cs="宋体"/>
                <w:sz w:val="24"/>
              </w:rPr>
              <w:t>7</w:t>
            </w:r>
          </w:p>
        </w:tc>
        <w:tc>
          <w:tcPr>
            <w:tcW w:w="10231" w:type="dxa"/>
            <w:noWrap/>
            <w:vAlign w:val="center"/>
          </w:tcPr>
          <w:p w14:paraId="2BB0DBF9">
            <w:pPr>
              <w:widowControl/>
              <w:spacing w:line="300" w:lineRule="exact"/>
              <w:jc w:val="left"/>
              <w:rPr>
                <w:rFonts w:ascii="宋体" w:hAnsi="宋体" w:cs="宋体"/>
                <w:sz w:val="22"/>
                <w:szCs w:val="22"/>
              </w:rPr>
            </w:pPr>
            <w:r>
              <w:rPr>
                <w:rFonts w:hint="eastAsia" w:ascii="宋体" w:hAnsi="宋体" w:cs="宋体"/>
                <w:sz w:val="22"/>
                <w:szCs w:val="22"/>
              </w:rPr>
              <w:t>七鱼留样：需各留1条；三菜留样：豇豆、芹菜、辣椒各留50克；两蛋留样：鹌鹑蛋（鸽子蛋），鸡蛋各留2个，留样时间不得少于24小时，发现一次一个品种不留样或不规范，扣1000元。合同履行期间，发现共发现10批次不留样，甲方有权单方面解除合同。</w:t>
            </w:r>
          </w:p>
        </w:tc>
        <w:tc>
          <w:tcPr>
            <w:tcW w:w="1040" w:type="dxa"/>
            <w:noWrap/>
            <w:vAlign w:val="center"/>
          </w:tcPr>
          <w:p w14:paraId="3AF3A182">
            <w:pPr>
              <w:widowControl/>
              <w:jc w:val="center"/>
              <w:rPr>
                <w:rFonts w:ascii="宋体" w:hAnsi="宋体" w:cs="宋体"/>
                <w:sz w:val="24"/>
              </w:rPr>
            </w:pPr>
          </w:p>
        </w:tc>
        <w:tc>
          <w:tcPr>
            <w:tcW w:w="1203" w:type="dxa"/>
            <w:noWrap/>
            <w:vAlign w:val="center"/>
          </w:tcPr>
          <w:p w14:paraId="2F87C358">
            <w:pPr>
              <w:widowControl/>
              <w:jc w:val="center"/>
              <w:rPr>
                <w:rFonts w:ascii="宋体" w:hAnsi="宋体" w:cs="宋体"/>
                <w:sz w:val="24"/>
              </w:rPr>
            </w:pPr>
          </w:p>
        </w:tc>
        <w:tc>
          <w:tcPr>
            <w:tcW w:w="1092" w:type="dxa"/>
            <w:noWrap/>
            <w:vAlign w:val="center"/>
          </w:tcPr>
          <w:p w14:paraId="065DD14D">
            <w:pPr>
              <w:widowControl/>
              <w:jc w:val="center"/>
              <w:rPr>
                <w:rFonts w:ascii="宋体" w:hAnsi="宋体" w:cs="宋体"/>
                <w:sz w:val="24"/>
              </w:rPr>
            </w:pPr>
          </w:p>
        </w:tc>
      </w:tr>
      <w:tr w14:paraId="34D6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Align w:val="center"/>
          </w:tcPr>
          <w:p w14:paraId="3F044309">
            <w:pPr>
              <w:widowControl/>
              <w:spacing w:line="300" w:lineRule="exact"/>
              <w:jc w:val="center"/>
              <w:rPr>
                <w:rFonts w:ascii="宋体" w:hAnsi="宋体" w:cs="宋体"/>
                <w:sz w:val="24"/>
              </w:rPr>
            </w:pPr>
            <w:r>
              <w:rPr>
                <w:rFonts w:hint="eastAsia" w:ascii="宋体" w:hAnsi="宋体" w:cs="宋体"/>
                <w:sz w:val="24"/>
              </w:rPr>
              <w:t>8</w:t>
            </w:r>
          </w:p>
        </w:tc>
        <w:tc>
          <w:tcPr>
            <w:tcW w:w="10231" w:type="dxa"/>
            <w:noWrap/>
            <w:vAlign w:val="center"/>
          </w:tcPr>
          <w:p w14:paraId="218C7DAC">
            <w:pPr>
              <w:widowControl/>
              <w:spacing w:line="300" w:lineRule="exact"/>
              <w:jc w:val="left"/>
              <w:rPr>
                <w:rFonts w:ascii="宋体" w:hAnsi="宋体" w:cs="宋体"/>
                <w:sz w:val="22"/>
                <w:szCs w:val="22"/>
              </w:rPr>
            </w:pPr>
            <w:r>
              <w:rPr>
                <w:rFonts w:hint="eastAsia" w:ascii="宋体" w:hAnsi="宋体" w:cs="宋体"/>
                <w:sz w:val="22"/>
                <w:szCs w:val="22"/>
              </w:rPr>
              <w:t>农贸、农批市场每天7：30前开始采样检测，11：00前全部检测结束并上传快检结果数据。水产品临时交易点每天夜12点前必安排人员抽样并检测，即时完成检测任务，凌晨3点前需全部完成快速检测（含快速定量检测）工作并上传快检结果数据；发现一个批次抽样、检测或数据上传不及时，扣1000元。</w:t>
            </w:r>
          </w:p>
        </w:tc>
        <w:tc>
          <w:tcPr>
            <w:tcW w:w="1040" w:type="dxa"/>
            <w:noWrap/>
            <w:vAlign w:val="center"/>
          </w:tcPr>
          <w:p w14:paraId="25BDFB50">
            <w:pPr>
              <w:widowControl/>
              <w:jc w:val="center"/>
              <w:rPr>
                <w:rFonts w:ascii="宋体" w:hAnsi="宋体" w:cs="宋体"/>
                <w:sz w:val="24"/>
              </w:rPr>
            </w:pPr>
          </w:p>
        </w:tc>
        <w:tc>
          <w:tcPr>
            <w:tcW w:w="1203" w:type="dxa"/>
            <w:noWrap/>
            <w:vAlign w:val="center"/>
          </w:tcPr>
          <w:p w14:paraId="045EFF03">
            <w:pPr>
              <w:widowControl/>
              <w:jc w:val="center"/>
              <w:rPr>
                <w:rFonts w:ascii="宋体" w:hAnsi="宋体" w:cs="宋体"/>
                <w:sz w:val="24"/>
              </w:rPr>
            </w:pPr>
          </w:p>
        </w:tc>
        <w:tc>
          <w:tcPr>
            <w:tcW w:w="1092" w:type="dxa"/>
            <w:noWrap/>
            <w:vAlign w:val="center"/>
          </w:tcPr>
          <w:p w14:paraId="4B69CC7D">
            <w:pPr>
              <w:widowControl/>
              <w:jc w:val="center"/>
              <w:rPr>
                <w:rFonts w:ascii="宋体" w:hAnsi="宋体" w:cs="宋体"/>
                <w:sz w:val="24"/>
              </w:rPr>
            </w:pPr>
          </w:p>
        </w:tc>
      </w:tr>
      <w:tr w14:paraId="1FB4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 w:type="dxa"/>
            <w:vAlign w:val="center"/>
          </w:tcPr>
          <w:p w14:paraId="2A9CFE75">
            <w:pPr>
              <w:widowControl/>
              <w:spacing w:line="300" w:lineRule="exact"/>
              <w:jc w:val="center"/>
              <w:rPr>
                <w:rFonts w:ascii="宋体" w:hAnsi="宋体" w:cs="宋体"/>
                <w:sz w:val="24"/>
              </w:rPr>
            </w:pPr>
            <w:r>
              <w:rPr>
                <w:rFonts w:hint="eastAsia" w:ascii="宋体" w:hAnsi="宋体" w:cs="宋体"/>
                <w:sz w:val="24"/>
              </w:rPr>
              <w:t>9</w:t>
            </w:r>
          </w:p>
        </w:tc>
        <w:tc>
          <w:tcPr>
            <w:tcW w:w="10231" w:type="dxa"/>
            <w:noWrap/>
            <w:vAlign w:val="center"/>
          </w:tcPr>
          <w:p w14:paraId="63DAAB57">
            <w:pPr>
              <w:widowControl/>
              <w:spacing w:line="300" w:lineRule="exact"/>
              <w:jc w:val="left"/>
              <w:rPr>
                <w:rFonts w:ascii="宋体" w:hAnsi="宋体" w:cs="宋体"/>
                <w:sz w:val="22"/>
                <w:szCs w:val="22"/>
              </w:rPr>
            </w:pPr>
            <w:r>
              <w:rPr>
                <w:rFonts w:hint="eastAsia" w:ascii="宋体" w:hAnsi="宋体" w:cs="宋体"/>
                <w:sz w:val="22"/>
                <w:szCs w:val="22"/>
              </w:rPr>
              <w:t>试剂和耗材不符合甲方需要发现一次扣2000元，乙方立即责令整改，如整改不到位甲方有权单方面解除合同；人员操作不熟练，未经培训合格上岗，发现一次扣2000元，乙方立即责令整改，如整改不到位甲方有权单方面解除合同；乙方仪器、设备设施配备不到位，未按要求如实、按时上传、报送快检数据，发现一项一次扣1000元，发现5次以上甲方有权单方面解除合同。</w:t>
            </w:r>
          </w:p>
        </w:tc>
        <w:tc>
          <w:tcPr>
            <w:tcW w:w="1040" w:type="dxa"/>
            <w:noWrap/>
            <w:vAlign w:val="center"/>
          </w:tcPr>
          <w:p w14:paraId="56EC0477">
            <w:pPr>
              <w:widowControl/>
              <w:jc w:val="center"/>
              <w:rPr>
                <w:rFonts w:ascii="宋体" w:hAnsi="宋体" w:cs="宋体"/>
                <w:sz w:val="24"/>
              </w:rPr>
            </w:pPr>
          </w:p>
        </w:tc>
        <w:tc>
          <w:tcPr>
            <w:tcW w:w="1203" w:type="dxa"/>
            <w:noWrap/>
            <w:vAlign w:val="center"/>
          </w:tcPr>
          <w:p w14:paraId="37743D98">
            <w:pPr>
              <w:widowControl/>
              <w:jc w:val="center"/>
              <w:rPr>
                <w:rFonts w:ascii="宋体" w:hAnsi="宋体" w:cs="宋体"/>
                <w:sz w:val="24"/>
              </w:rPr>
            </w:pPr>
          </w:p>
        </w:tc>
        <w:tc>
          <w:tcPr>
            <w:tcW w:w="1092" w:type="dxa"/>
            <w:noWrap/>
            <w:vAlign w:val="center"/>
          </w:tcPr>
          <w:p w14:paraId="016BCD6F">
            <w:pPr>
              <w:widowControl/>
              <w:jc w:val="center"/>
              <w:rPr>
                <w:rFonts w:ascii="宋体" w:hAnsi="宋体" w:cs="宋体"/>
                <w:sz w:val="24"/>
              </w:rPr>
            </w:pPr>
          </w:p>
        </w:tc>
      </w:tr>
      <w:tr w14:paraId="19C7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79" w:type="dxa"/>
            <w:vAlign w:val="center"/>
          </w:tcPr>
          <w:p w14:paraId="7634E2BB">
            <w:pPr>
              <w:widowControl/>
              <w:spacing w:line="300" w:lineRule="exact"/>
              <w:jc w:val="center"/>
              <w:rPr>
                <w:rFonts w:ascii="宋体" w:hAnsi="宋体" w:cs="宋体"/>
                <w:sz w:val="24"/>
              </w:rPr>
            </w:pPr>
            <w:r>
              <w:rPr>
                <w:rFonts w:hint="eastAsia" w:ascii="宋体" w:hAnsi="宋体" w:cs="宋体"/>
                <w:sz w:val="24"/>
              </w:rPr>
              <w:t>10</w:t>
            </w:r>
          </w:p>
        </w:tc>
        <w:tc>
          <w:tcPr>
            <w:tcW w:w="10231" w:type="dxa"/>
            <w:noWrap/>
            <w:vAlign w:val="center"/>
          </w:tcPr>
          <w:p w14:paraId="65EB0A84">
            <w:pPr>
              <w:widowControl/>
              <w:spacing w:line="300" w:lineRule="exact"/>
              <w:jc w:val="left"/>
              <w:rPr>
                <w:rFonts w:ascii="宋体" w:hAnsi="宋体" w:cs="宋体"/>
                <w:sz w:val="22"/>
                <w:szCs w:val="22"/>
              </w:rPr>
            </w:pPr>
            <w:r>
              <w:rPr>
                <w:rFonts w:hint="eastAsia" w:ascii="宋体" w:hAnsi="宋体" w:cs="宋体"/>
                <w:sz w:val="22"/>
                <w:szCs w:val="22"/>
              </w:rPr>
              <w:t>未按甲方要求调整检测品种和批次，发现一次扣2000元，发现5次以上甲方有权单方面解除合同。</w:t>
            </w:r>
          </w:p>
        </w:tc>
        <w:tc>
          <w:tcPr>
            <w:tcW w:w="1040" w:type="dxa"/>
            <w:noWrap/>
            <w:vAlign w:val="center"/>
          </w:tcPr>
          <w:p w14:paraId="04FF65D0">
            <w:pPr>
              <w:widowControl/>
              <w:jc w:val="center"/>
              <w:rPr>
                <w:rFonts w:ascii="宋体" w:hAnsi="宋体" w:cs="宋体"/>
                <w:sz w:val="24"/>
              </w:rPr>
            </w:pPr>
          </w:p>
        </w:tc>
        <w:tc>
          <w:tcPr>
            <w:tcW w:w="1203" w:type="dxa"/>
            <w:noWrap/>
            <w:vAlign w:val="center"/>
          </w:tcPr>
          <w:p w14:paraId="54F199B4">
            <w:pPr>
              <w:widowControl/>
              <w:jc w:val="center"/>
              <w:rPr>
                <w:rFonts w:ascii="宋体" w:hAnsi="宋体" w:cs="宋体"/>
                <w:sz w:val="24"/>
              </w:rPr>
            </w:pPr>
          </w:p>
        </w:tc>
        <w:tc>
          <w:tcPr>
            <w:tcW w:w="1092" w:type="dxa"/>
            <w:noWrap/>
            <w:vAlign w:val="center"/>
          </w:tcPr>
          <w:p w14:paraId="53A2709F">
            <w:pPr>
              <w:widowControl/>
              <w:jc w:val="center"/>
              <w:rPr>
                <w:rFonts w:ascii="宋体" w:hAnsi="宋体" w:cs="宋体"/>
                <w:sz w:val="24"/>
              </w:rPr>
            </w:pPr>
          </w:p>
        </w:tc>
      </w:tr>
      <w:tr w14:paraId="2A0F0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79" w:type="dxa"/>
            <w:vAlign w:val="center"/>
          </w:tcPr>
          <w:p w14:paraId="111F45F5">
            <w:pPr>
              <w:widowControl/>
              <w:spacing w:line="300" w:lineRule="exact"/>
              <w:jc w:val="center"/>
              <w:rPr>
                <w:rFonts w:ascii="宋体" w:hAnsi="宋体" w:cs="宋体"/>
                <w:sz w:val="24"/>
              </w:rPr>
            </w:pPr>
            <w:r>
              <w:rPr>
                <w:rFonts w:hint="eastAsia" w:ascii="宋体" w:hAnsi="宋体" w:cs="宋体"/>
                <w:sz w:val="24"/>
              </w:rPr>
              <w:t>11</w:t>
            </w:r>
          </w:p>
        </w:tc>
        <w:tc>
          <w:tcPr>
            <w:tcW w:w="10231" w:type="dxa"/>
            <w:noWrap/>
            <w:vAlign w:val="center"/>
          </w:tcPr>
          <w:p w14:paraId="77CB7376">
            <w:pPr>
              <w:widowControl/>
              <w:spacing w:line="300" w:lineRule="exact"/>
              <w:jc w:val="left"/>
              <w:rPr>
                <w:rFonts w:ascii="宋体" w:hAnsi="宋体" w:cs="宋体"/>
                <w:sz w:val="22"/>
                <w:szCs w:val="22"/>
              </w:rPr>
            </w:pPr>
            <w:r>
              <w:rPr>
                <w:rFonts w:hint="eastAsia" w:ascii="宋体" w:hAnsi="宋体" w:cs="宋体"/>
                <w:sz w:val="22"/>
                <w:szCs w:val="22"/>
              </w:rPr>
              <w:t>合同履行期间，如发现乙方在抽样、检测过程中弄虚作假，发现1次扣2000元，发现5次以上甲方有权单方面解除合同。</w:t>
            </w:r>
          </w:p>
        </w:tc>
        <w:tc>
          <w:tcPr>
            <w:tcW w:w="1040" w:type="dxa"/>
            <w:noWrap/>
            <w:vAlign w:val="center"/>
          </w:tcPr>
          <w:p w14:paraId="53195D31">
            <w:pPr>
              <w:widowControl/>
              <w:jc w:val="center"/>
              <w:rPr>
                <w:rFonts w:ascii="宋体" w:hAnsi="宋体" w:cs="宋体"/>
                <w:sz w:val="24"/>
              </w:rPr>
            </w:pPr>
          </w:p>
        </w:tc>
        <w:tc>
          <w:tcPr>
            <w:tcW w:w="1203" w:type="dxa"/>
            <w:noWrap/>
            <w:vAlign w:val="center"/>
          </w:tcPr>
          <w:p w14:paraId="0F190D3A">
            <w:pPr>
              <w:widowControl/>
              <w:jc w:val="center"/>
              <w:rPr>
                <w:rFonts w:ascii="宋体" w:hAnsi="宋体" w:cs="宋体"/>
                <w:sz w:val="24"/>
              </w:rPr>
            </w:pPr>
          </w:p>
        </w:tc>
        <w:tc>
          <w:tcPr>
            <w:tcW w:w="1092" w:type="dxa"/>
            <w:noWrap/>
            <w:vAlign w:val="center"/>
          </w:tcPr>
          <w:p w14:paraId="4F1D172D">
            <w:pPr>
              <w:widowControl/>
              <w:jc w:val="center"/>
              <w:rPr>
                <w:rFonts w:ascii="宋体" w:hAnsi="宋体" w:cs="宋体"/>
                <w:sz w:val="24"/>
              </w:rPr>
            </w:pPr>
          </w:p>
        </w:tc>
      </w:tr>
      <w:tr w14:paraId="75CA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79" w:type="dxa"/>
            <w:vAlign w:val="center"/>
          </w:tcPr>
          <w:p w14:paraId="1C93F318">
            <w:pPr>
              <w:widowControl/>
              <w:jc w:val="center"/>
              <w:rPr>
                <w:rFonts w:ascii="宋体" w:hAnsi="宋体" w:cs="宋体"/>
                <w:sz w:val="24"/>
              </w:rPr>
            </w:pPr>
            <w:r>
              <w:rPr>
                <w:rFonts w:hint="eastAsia" w:ascii="宋体" w:hAnsi="宋体" w:cs="宋体"/>
                <w:sz w:val="24"/>
              </w:rPr>
              <w:t>合计</w:t>
            </w:r>
          </w:p>
        </w:tc>
        <w:tc>
          <w:tcPr>
            <w:tcW w:w="10231" w:type="dxa"/>
            <w:vAlign w:val="center"/>
          </w:tcPr>
          <w:p w14:paraId="72E18E19">
            <w:pPr>
              <w:widowControl/>
              <w:jc w:val="left"/>
              <w:rPr>
                <w:rFonts w:ascii="宋体" w:hAnsi="宋体" w:cs="宋体"/>
                <w:sz w:val="24"/>
              </w:rPr>
            </w:pPr>
          </w:p>
        </w:tc>
        <w:tc>
          <w:tcPr>
            <w:tcW w:w="1040" w:type="dxa"/>
            <w:noWrap/>
            <w:vAlign w:val="center"/>
          </w:tcPr>
          <w:p w14:paraId="52153FA1">
            <w:pPr>
              <w:widowControl/>
              <w:jc w:val="center"/>
              <w:rPr>
                <w:rFonts w:ascii="宋体" w:hAnsi="宋体" w:cs="宋体"/>
                <w:sz w:val="24"/>
              </w:rPr>
            </w:pPr>
          </w:p>
        </w:tc>
        <w:tc>
          <w:tcPr>
            <w:tcW w:w="1203" w:type="dxa"/>
            <w:noWrap/>
            <w:vAlign w:val="center"/>
          </w:tcPr>
          <w:p w14:paraId="1436E8B8">
            <w:pPr>
              <w:widowControl/>
              <w:jc w:val="center"/>
              <w:rPr>
                <w:rFonts w:ascii="宋体" w:hAnsi="宋体" w:cs="宋体"/>
                <w:sz w:val="24"/>
              </w:rPr>
            </w:pPr>
          </w:p>
        </w:tc>
        <w:tc>
          <w:tcPr>
            <w:tcW w:w="1092" w:type="dxa"/>
            <w:noWrap/>
            <w:vAlign w:val="center"/>
          </w:tcPr>
          <w:p w14:paraId="198A9D88">
            <w:pPr>
              <w:widowControl/>
              <w:jc w:val="center"/>
              <w:rPr>
                <w:rFonts w:ascii="宋体" w:hAnsi="宋体" w:cs="宋体"/>
                <w:sz w:val="24"/>
              </w:rPr>
            </w:pPr>
          </w:p>
        </w:tc>
      </w:tr>
    </w:tbl>
    <w:p w14:paraId="69B4CD0F">
      <w:pPr>
        <w:pStyle w:val="13"/>
        <w:spacing w:before="120" w:after="120" w:line="500" w:lineRule="exact"/>
        <w:rPr>
          <w:rFonts w:hAnsi="宋体"/>
          <w:b/>
          <w:bCs/>
          <w:sz w:val="24"/>
          <w:szCs w:val="24"/>
        </w:rPr>
      </w:pPr>
      <w:r>
        <w:rPr>
          <w:rFonts w:hint="eastAsia" w:hAnsi="宋体"/>
          <w:b/>
          <w:bCs/>
          <w:sz w:val="24"/>
          <w:szCs w:val="24"/>
        </w:rPr>
        <w:t>注：考核每季度一次，根据甲方需求增加考核频次。</w:t>
      </w:r>
    </w:p>
    <w:p w14:paraId="582BAC5D">
      <w:pPr>
        <w:pStyle w:val="13"/>
        <w:spacing w:before="120" w:after="120" w:line="500" w:lineRule="exact"/>
        <w:ind w:left="359" w:firstLine="600"/>
        <w:rPr>
          <w:rFonts w:hint="eastAsia" w:hAnsi="宋体" w:eastAsiaTheme="minorEastAsia"/>
          <w:sz w:val="24"/>
          <w:szCs w:val="24"/>
          <w:lang w:val="en-US" w:eastAsia="zh-CN"/>
        </w:rPr>
        <w:sectPr>
          <w:pgSz w:w="16838" w:h="11906" w:orient="landscape"/>
          <w:pgMar w:top="1080" w:right="1440" w:bottom="1080" w:left="1440" w:header="851" w:footer="907" w:gutter="0"/>
          <w:pgNumType w:fmt="decimal"/>
          <w:cols w:space="720" w:num="1"/>
          <w:titlePg/>
          <w:docGrid w:linePitch="360" w:charSpace="0"/>
        </w:sectPr>
      </w:pPr>
      <w:r>
        <w:rPr>
          <w:rFonts w:hint="eastAsia" w:hAnsi="宋体"/>
          <w:sz w:val="24"/>
          <w:szCs w:val="24"/>
        </w:rPr>
        <w:t>考核人员签字</w:t>
      </w:r>
      <w:r>
        <w:rPr>
          <w:rFonts w:hint="eastAsia" w:hAnsi="宋体"/>
          <w:sz w:val="24"/>
          <w:szCs w:val="24"/>
          <w:lang w:val="en-US" w:eastAsia="zh-CN"/>
        </w:rPr>
        <w:t>:</w:t>
      </w:r>
    </w:p>
    <w:bookmarkEnd w:id="161"/>
    <w:bookmarkEnd w:id="162"/>
    <w:bookmarkEnd w:id="163"/>
    <w:bookmarkEnd w:id="164"/>
    <w:bookmarkEnd w:id="165"/>
    <w:p w14:paraId="1E80458D">
      <w:pPr>
        <w:pStyle w:val="2"/>
        <w:jc w:val="center"/>
      </w:pPr>
      <w:bookmarkStart w:id="168" w:name="_Toc213922787"/>
      <w:r>
        <w:rPr>
          <w:rFonts w:hint="eastAsia"/>
        </w:rPr>
        <w:t>第四章  项目需求</w:t>
      </w:r>
      <w:bookmarkEnd w:id="168"/>
    </w:p>
    <w:p w14:paraId="39F8FCED">
      <w:pPr>
        <w:spacing w:line="460" w:lineRule="exact"/>
        <w:ind w:firstLine="482"/>
        <w:rPr>
          <w:rFonts w:ascii="宋体" w:hAnsi="宋体"/>
          <w:b/>
          <w:sz w:val="24"/>
        </w:rPr>
      </w:pPr>
      <w:r>
        <w:rPr>
          <w:rFonts w:hint="eastAsia" w:ascii="宋体" w:hAnsi="宋体"/>
          <w:b/>
          <w:sz w:val="24"/>
        </w:rPr>
        <w:t>项目属性：服务类项目</w:t>
      </w:r>
    </w:p>
    <w:p w14:paraId="200BED9C">
      <w:pPr>
        <w:spacing w:line="460" w:lineRule="exact"/>
        <w:ind w:firstLine="482"/>
        <w:rPr>
          <w:rFonts w:ascii="宋体" w:hAnsi="宋体"/>
          <w:b/>
          <w:sz w:val="24"/>
        </w:rPr>
      </w:pPr>
      <w:r>
        <w:rPr>
          <w:rFonts w:hint="eastAsia" w:ascii="宋体" w:hAnsi="宋体"/>
          <w:b/>
          <w:sz w:val="24"/>
        </w:rPr>
        <w:t>一、项目概况</w:t>
      </w:r>
    </w:p>
    <w:p w14:paraId="04A74787">
      <w:pPr>
        <w:spacing w:line="460" w:lineRule="exact"/>
        <w:ind w:firstLine="480"/>
        <w:rPr>
          <w:rFonts w:ascii="宋体" w:hAnsi="宋体"/>
          <w:sz w:val="24"/>
        </w:rPr>
      </w:pPr>
      <w:r>
        <w:rPr>
          <w:rFonts w:hint="eastAsia" w:ascii="宋体" w:hAnsi="宋体"/>
          <w:sz w:val="24"/>
        </w:rPr>
        <w:t>亭湖区2025年“七鱼三菜两蛋”专项农贸市场快检服务项目，采购预算为人民币360万元，采购资</w:t>
      </w:r>
      <w:r>
        <w:rPr>
          <w:rFonts w:hint="eastAsia" w:ascii="宋体" w:hAnsi="宋体" w:cs="宋体"/>
          <w:sz w:val="24"/>
        </w:rPr>
        <w:t>金为财政资金，资金来源已经落实。主要采购内容包含但不限于：</w:t>
      </w:r>
      <w:r>
        <w:rPr>
          <w:rFonts w:hint="eastAsia" w:ascii="宋体" w:hAnsi="宋体"/>
          <w:sz w:val="24"/>
        </w:rPr>
        <w:t>对</w:t>
      </w:r>
      <w:r>
        <w:rPr>
          <w:rFonts w:hint="eastAsia" w:ascii="宋体" w:hAnsi="宋体"/>
          <w:bCs/>
          <w:sz w:val="24"/>
        </w:rPr>
        <w:t>辖区内所有农贸市场提供约</w:t>
      </w:r>
      <w:r>
        <w:rPr>
          <w:rFonts w:hint="eastAsia" w:ascii="宋体" w:hAnsi="宋体" w:eastAsia="宋体" w:cs="宋体"/>
          <w:i w:val="0"/>
          <w:iCs w:val="0"/>
          <w:color w:val="000000"/>
          <w:kern w:val="0"/>
          <w:sz w:val="24"/>
          <w:szCs w:val="24"/>
          <w:highlight w:val="none"/>
          <w:u w:val="none"/>
          <w:lang w:val="en-US" w:eastAsia="zh-CN" w:bidi="ar"/>
        </w:rPr>
        <w:t>143000</w:t>
      </w:r>
      <w:r>
        <w:rPr>
          <w:rFonts w:hint="eastAsia" w:ascii="宋体" w:hAnsi="宋体" w:cs="宋体"/>
          <w:sz w:val="24"/>
          <w:highlight w:val="none"/>
        </w:rPr>
        <w:t>批</w:t>
      </w:r>
      <w:r>
        <w:rPr>
          <w:rFonts w:hint="eastAsia" w:ascii="宋体" w:hAnsi="宋体"/>
          <w:bCs/>
          <w:sz w:val="24"/>
          <w:highlight w:val="none"/>
        </w:rPr>
        <w:t>次“七鱼三菜两蛋（七鱼：鳊鱼、鲫鱼、黄鳝、牛蛙、泥鳅、大口黑鲈、乌鳢；三菜：豇豆、芹菜、辣椒；两蛋：鹌鹑蛋、鸡蛋）”及果蔬畜禽肉等专项快检服务（其中七鱼三菜两蛋及畜禽肉为胶体金检测，果蔬类为比色检测法）。</w:t>
      </w:r>
      <w:r>
        <w:rPr>
          <w:rFonts w:hint="eastAsia" w:ascii="宋体" w:hAnsi="宋体" w:cs="宋体"/>
          <w:sz w:val="24"/>
          <w:highlight w:val="none"/>
        </w:rPr>
        <w:t>每个包约</w:t>
      </w:r>
      <w:r>
        <w:rPr>
          <w:rFonts w:hint="eastAsia" w:ascii="宋体" w:hAnsi="宋体" w:eastAsia="宋体" w:cs="宋体"/>
          <w:i w:val="0"/>
          <w:iCs w:val="0"/>
          <w:color w:val="000000"/>
          <w:kern w:val="0"/>
          <w:sz w:val="24"/>
          <w:szCs w:val="24"/>
          <w:highlight w:val="none"/>
          <w:u w:val="none"/>
          <w:lang w:val="en-US" w:eastAsia="zh-CN" w:bidi="ar"/>
        </w:rPr>
        <w:t>71500</w:t>
      </w:r>
      <w:r>
        <w:rPr>
          <w:rFonts w:hint="eastAsia" w:ascii="宋体" w:hAnsi="宋体" w:cs="宋体"/>
          <w:sz w:val="24"/>
          <w:highlight w:val="none"/>
        </w:rPr>
        <w:t>批次，</w:t>
      </w:r>
      <w:r>
        <w:rPr>
          <w:rFonts w:hint="eastAsia" w:ascii="宋体" w:hAnsi="宋体" w:cs="宋体"/>
          <w:color w:val="000000"/>
          <w:sz w:val="24"/>
          <w:highlight w:val="none"/>
          <w:lang w:val="en-US" w:eastAsia="zh-CN"/>
        </w:rPr>
        <w:t>采购人可根据实际情况调整分配农贸市场</w:t>
      </w:r>
      <w:r>
        <w:rPr>
          <w:rFonts w:hint="eastAsia" w:ascii="宋体" w:hAnsi="宋体" w:eastAsia="宋体" w:cs="宋体"/>
          <w:color w:val="000000"/>
          <w:sz w:val="24"/>
          <w:highlight w:val="none"/>
          <w:lang w:val="en-US" w:eastAsia="zh-CN"/>
        </w:rPr>
        <w:t>。</w:t>
      </w:r>
      <w:r>
        <w:rPr>
          <w:rFonts w:hint="eastAsia" w:ascii="宋体" w:hAnsi="宋体" w:cs="宋体"/>
          <w:sz w:val="24"/>
        </w:rPr>
        <w:t>项目包</w:t>
      </w:r>
      <w:r>
        <w:rPr>
          <w:rFonts w:hint="eastAsia" w:ascii="宋体" w:hAnsi="宋体"/>
          <w:bCs/>
          <w:sz w:val="24"/>
        </w:rPr>
        <w:t>含每个检测室的日常运营、检测工具设备投入、采样费用、检测耗材费用、检测试剂费用、检测人员工资、检测数据公示、检测数据传输与储存等，所有检测数据信息归采购方所有，不得外传并需为采购方保存检测数据至少2年</w:t>
      </w:r>
      <w:r>
        <w:rPr>
          <w:rFonts w:hint="eastAsia" w:ascii="宋体" w:hAnsi="宋体"/>
          <w:sz w:val="24"/>
        </w:rPr>
        <w:t>。</w:t>
      </w:r>
    </w:p>
    <w:p w14:paraId="206FAEF5">
      <w:pPr>
        <w:spacing w:line="460" w:lineRule="exact"/>
        <w:ind w:firstLine="482"/>
        <w:rPr>
          <w:rFonts w:ascii="宋体" w:hAnsi="宋体"/>
          <w:b/>
          <w:sz w:val="24"/>
        </w:rPr>
      </w:pPr>
      <w:r>
        <w:rPr>
          <w:rFonts w:hint="eastAsia" w:ascii="宋体" w:hAnsi="宋体"/>
          <w:b/>
          <w:sz w:val="24"/>
        </w:rPr>
        <w:t>二、技术要求</w:t>
      </w:r>
      <w:r>
        <w:rPr>
          <w:rFonts w:ascii="宋体" w:hAnsi="宋体"/>
          <w:b/>
          <w:sz w:val="24"/>
        </w:rPr>
        <w:t xml:space="preserve"> </w:t>
      </w:r>
    </w:p>
    <w:p w14:paraId="7797A738">
      <w:pPr>
        <w:spacing w:line="460" w:lineRule="exact"/>
        <w:ind w:firstLine="482"/>
        <w:rPr>
          <w:rFonts w:ascii="宋体" w:hAnsi="宋体"/>
          <w:b/>
          <w:sz w:val="24"/>
        </w:rPr>
      </w:pPr>
      <w:r>
        <w:rPr>
          <w:rFonts w:hint="eastAsia" w:ascii="宋体" w:hAnsi="宋体"/>
          <w:b/>
          <w:sz w:val="24"/>
        </w:rPr>
        <w:t>（一）检测运营要求：</w:t>
      </w:r>
    </w:p>
    <w:p w14:paraId="0FF714B8">
      <w:pPr>
        <w:spacing w:line="460" w:lineRule="exact"/>
        <w:ind w:firstLine="480"/>
        <w:rPr>
          <w:rFonts w:ascii="宋体" w:hAnsi="宋体"/>
          <w:b/>
          <w:bCs/>
          <w:sz w:val="24"/>
        </w:rPr>
      </w:pPr>
      <w:r>
        <w:rPr>
          <w:rFonts w:hint="eastAsia" w:ascii="宋体" w:hAnsi="宋体"/>
          <w:b/>
          <w:bCs/>
          <w:sz w:val="24"/>
        </w:rPr>
        <w:t>1.运营期限</w:t>
      </w:r>
    </w:p>
    <w:p w14:paraId="14E2969C">
      <w:pPr>
        <w:spacing w:line="460" w:lineRule="exact"/>
        <w:ind w:firstLine="480"/>
        <w:rPr>
          <w:rFonts w:ascii="宋体" w:hAnsi="宋体"/>
          <w:sz w:val="24"/>
        </w:rPr>
      </w:pPr>
      <w:r>
        <w:rPr>
          <w:rFonts w:hint="eastAsia" w:ascii="宋体" w:hAnsi="宋体"/>
          <w:sz w:val="24"/>
        </w:rPr>
        <w:t>中标供应商负责检测室的运营期</w:t>
      </w:r>
      <w:r>
        <w:rPr>
          <w:rFonts w:hint="eastAsia" w:ascii="宋体" w:hAnsi="宋体" w:cs="宋体"/>
          <w:sz w:val="24"/>
        </w:rPr>
        <w:t>为合同签定后7个工作日内完成检测人员招聘及培训并正常开展日常检测工作。服务期自本合同签订之日起52周内完成，主要负责每个检测室的日常运营、检测工具设备投入、采样费用、检测耗材费用、检测试</w:t>
      </w:r>
      <w:r>
        <w:rPr>
          <w:rFonts w:hint="eastAsia" w:ascii="宋体" w:hAnsi="宋体"/>
          <w:bCs/>
          <w:sz w:val="24"/>
        </w:rPr>
        <w:t>剂费用、检测人员工资、检测数据公示、检测数据传输与储存等</w:t>
      </w:r>
      <w:r>
        <w:rPr>
          <w:rFonts w:hint="eastAsia" w:ascii="宋体" w:hAnsi="宋体"/>
          <w:sz w:val="24"/>
        </w:rPr>
        <w:t>，所有检测数据信息归采购方所有，不得外传并需为采购方保存检测数据至少2年。所需费用全部包含在投标报价中，运营过程中不再追加任何费用。</w:t>
      </w:r>
    </w:p>
    <w:p w14:paraId="53B8A840">
      <w:pPr>
        <w:spacing w:line="460" w:lineRule="exact"/>
        <w:ind w:firstLine="480"/>
        <w:rPr>
          <w:rFonts w:ascii="宋体" w:hAnsi="宋体"/>
          <w:b/>
          <w:bCs/>
          <w:sz w:val="24"/>
        </w:rPr>
      </w:pPr>
      <w:r>
        <w:rPr>
          <w:rFonts w:hint="eastAsia" w:ascii="宋体" w:hAnsi="宋体"/>
          <w:b/>
          <w:bCs/>
          <w:sz w:val="24"/>
        </w:rPr>
        <w:t>2.检测任务</w:t>
      </w:r>
    </w:p>
    <w:p w14:paraId="6E1B8753">
      <w:pPr>
        <w:spacing w:line="460" w:lineRule="exact"/>
        <w:ind w:firstLine="480"/>
        <w:rPr>
          <w:rFonts w:ascii="宋体" w:hAnsi="宋体"/>
          <w:sz w:val="24"/>
        </w:rPr>
      </w:pPr>
      <w:r>
        <w:rPr>
          <w:rFonts w:hint="eastAsia" w:ascii="宋体" w:hAnsi="宋体"/>
          <w:sz w:val="24"/>
        </w:rPr>
        <w:t>根据本地实际及专项整治要求、季节变化等情况，采购人可要求对快检数量和项目做适当的调整</w:t>
      </w:r>
      <w:r>
        <w:rPr>
          <w:rFonts w:hint="eastAsia" w:ascii="宋体" w:hAnsi="宋体"/>
          <w:sz w:val="24"/>
          <w:highlight w:val="none"/>
        </w:rPr>
        <w:t>。</w:t>
      </w:r>
      <w:r>
        <w:rPr>
          <w:rFonts w:hint="eastAsia" w:ascii="宋体" w:hAnsi="宋体"/>
          <w:sz w:val="24"/>
          <w:highlight w:val="none"/>
          <w:lang w:val="en-US" w:eastAsia="zh-CN"/>
        </w:rPr>
        <w:t>中标供应商需提前做好月度检测计划（包括检测批次和检测项目等内容）并经采购人同意后方可开展检测工作，</w:t>
      </w:r>
      <w:r>
        <w:rPr>
          <w:rFonts w:hint="eastAsia" w:ascii="宋体" w:hAnsi="宋体"/>
          <w:sz w:val="24"/>
        </w:rPr>
        <w:t>如遇到新开或关闭市场，采购人可对每个市场的检测批次进行调整，总批次不变。农贸市场具体检测批次如下：</w:t>
      </w:r>
    </w:p>
    <w:p w14:paraId="31236075">
      <w:pPr>
        <w:spacing w:line="460" w:lineRule="exact"/>
        <w:rPr>
          <w:rFonts w:ascii="宋体" w:hAnsi="宋体"/>
          <w:b/>
          <w:bCs/>
          <w:sz w:val="24"/>
        </w:rPr>
      </w:pPr>
      <w:r>
        <w:rPr>
          <w:rFonts w:hint="eastAsia" w:ascii="宋体" w:hAnsi="宋体"/>
          <w:b/>
          <w:bCs/>
          <w:sz w:val="24"/>
        </w:rPr>
        <w:t>表一、七鱼三菜两蛋检测项目</w:t>
      </w:r>
    </w:p>
    <w:tbl>
      <w:tblPr>
        <w:tblStyle w:val="18"/>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2980"/>
        <w:gridCol w:w="1401"/>
        <w:gridCol w:w="3655"/>
        <w:gridCol w:w="846"/>
      </w:tblGrid>
      <w:tr w14:paraId="4CB1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35383229">
            <w:pPr>
              <w:jc w:val="center"/>
              <w:rPr>
                <w:b/>
                <w:bCs/>
                <w:sz w:val="28"/>
                <w:szCs w:val="28"/>
              </w:rPr>
            </w:pPr>
            <w:r>
              <w:rPr>
                <w:rFonts w:hint="eastAsia"/>
                <w:b/>
                <w:bCs/>
                <w:sz w:val="28"/>
                <w:szCs w:val="28"/>
              </w:rPr>
              <w:t>样本</w:t>
            </w:r>
          </w:p>
        </w:tc>
        <w:tc>
          <w:tcPr>
            <w:tcW w:w="1515" w:type="pct"/>
            <w:vAlign w:val="center"/>
          </w:tcPr>
          <w:p w14:paraId="47E91793">
            <w:pPr>
              <w:jc w:val="center"/>
              <w:rPr>
                <w:b/>
                <w:bCs/>
                <w:sz w:val="28"/>
                <w:szCs w:val="28"/>
              </w:rPr>
            </w:pPr>
            <w:r>
              <w:rPr>
                <w:rFonts w:hint="eastAsia"/>
                <w:b/>
                <w:bCs/>
                <w:sz w:val="28"/>
                <w:szCs w:val="28"/>
              </w:rPr>
              <w:t>常规药物参数</w:t>
            </w:r>
          </w:p>
        </w:tc>
        <w:tc>
          <w:tcPr>
            <w:tcW w:w="712" w:type="pct"/>
            <w:vAlign w:val="center"/>
          </w:tcPr>
          <w:p w14:paraId="543A4395">
            <w:pPr>
              <w:jc w:val="center"/>
              <w:rPr>
                <w:b/>
                <w:bCs/>
                <w:sz w:val="28"/>
                <w:szCs w:val="28"/>
              </w:rPr>
            </w:pPr>
            <w:r>
              <w:rPr>
                <w:rFonts w:hint="eastAsia"/>
                <w:b/>
                <w:bCs/>
                <w:sz w:val="28"/>
                <w:szCs w:val="28"/>
              </w:rPr>
              <w:t>检测频次</w:t>
            </w:r>
          </w:p>
        </w:tc>
        <w:tc>
          <w:tcPr>
            <w:tcW w:w="1858" w:type="pct"/>
            <w:vAlign w:val="center"/>
          </w:tcPr>
          <w:p w14:paraId="5A3F9B85">
            <w:pPr>
              <w:jc w:val="center"/>
              <w:rPr>
                <w:b/>
                <w:bCs/>
                <w:sz w:val="28"/>
                <w:szCs w:val="28"/>
              </w:rPr>
            </w:pPr>
            <w:r>
              <w:rPr>
                <w:rFonts w:hint="eastAsia"/>
                <w:b/>
                <w:bCs/>
                <w:sz w:val="28"/>
                <w:szCs w:val="28"/>
              </w:rPr>
              <w:t>禁（停）用药物检测参数</w:t>
            </w:r>
          </w:p>
        </w:tc>
        <w:tc>
          <w:tcPr>
            <w:tcW w:w="430" w:type="pct"/>
            <w:vAlign w:val="center"/>
          </w:tcPr>
          <w:p w14:paraId="553E28D6">
            <w:pPr>
              <w:jc w:val="center"/>
              <w:rPr>
                <w:b/>
                <w:bCs/>
                <w:sz w:val="28"/>
                <w:szCs w:val="28"/>
              </w:rPr>
            </w:pPr>
            <w:r>
              <w:rPr>
                <w:rFonts w:hint="eastAsia"/>
                <w:b/>
                <w:bCs/>
                <w:sz w:val="28"/>
                <w:szCs w:val="28"/>
              </w:rPr>
              <w:t>检测频次</w:t>
            </w:r>
          </w:p>
        </w:tc>
      </w:tr>
      <w:tr w14:paraId="3312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83" w:type="pct"/>
            <w:vAlign w:val="center"/>
          </w:tcPr>
          <w:p w14:paraId="526EE17A">
            <w:pPr>
              <w:jc w:val="center"/>
              <w:rPr>
                <w:sz w:val="24"/>
              </w:rPr>
            </w:pPr>
            <w:r>
              <w:rPr>
                <w:rFonts w:hint="eastAsia"/>
                <w:sz w:val="24"/>
              </w:rPr>
              <w:t>鳊鱼</w:t>
            </w:r>
          </w:p>
        </w:tc>
        <w:tc>
          <w:tcPr>
            <w:tcW w:w="1515" w:type="pct"/>
            <w:vAlign w:val="center"/>
          </w:tcPr>
          <w:p w14:paraId="02CCDF3D">
            <w:pPr>
              <w:jc w:val="left"/>
              <w:rPr>
                <w:sz w:val="24"/>
              </w:rPr>
            </w:pPr>
            <w:r>
              <w:rPr>
                <w:rFonts w:hint="eastAsia"/>
                <w:sz w:val="24"/>
              </w:rPr>
              <w:t>恩诺沙星和环丙沙星</w:t>
            </w:r>
          </w:p>
        </w:tc>
        <w:tc>
          <w:tcPr>
            <w:tcW w:w="712" w:type="pct"/>
            <w:vAlign w:val="center"/>
          </w:tcPr>
          <w:p w14:paraId="089CD971">
            <w:pPr>
              <w:jc w:val="center"/>
              <w:rPr>
                <w:sz w:val="24"/>
              </w:rPr>
            </w:pPr>
            <w:r>
              <w:rPr>
                <w:rFonts w:hint="eastAsia"/>
                <w:sz w:val="24"/>
              </w:rPr>
              <w:t>天天检</w:t>
            </w:r>
          </w:p>
        </w:tc>
        <w:tc>
          <w:tcPr>
            <w:tcW w:w="1858" w:type="pct"/>
            <w:vAlign w:val="center"/>
          </w:tcPr>
          <w:p w14:paraId="044E72F6">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restart"/>
            <w:vAlign w:val="center"/>
          </w:tcPr>
          <w:p w14:paraId="50448CC9">
            <w:pPr>
              <w:jc w:val="center"/>
              <w:rPr>
                <w:rFonts w:hint="eastAsia"/>
                <w:sz w:val="24"/>
              </w:rPr>
            </w:pPr>
          </w:p>
          <w:p w14:paraId="7D83E87C">
            <w:pPr>
              <w:jc w:val="center"/>
              <w:rPr>
                <w:rFonts w:hint="eastAsia"/>
                <w:sz w:val="24"/>
              </w:rPr>
            </w:pPr>
          </w:p>
          <w:p w14:paraId="7D2876C4">
            <w:pPr>
              <w:jc w:val="center"/>
              <w:rPr>
                <w:rFonts w:hint="eastAsia"/>
                <w:sz w:val="24"/>
              </w:rPr>
            </w:pPr>
          </w:p>
          <w:p w14:paraId="7A07DFCB">
            <w:pPr>
              <w:jc w:val="center"/>
              <w:rPr>
                <w:rFonts w:hint="eastAsia"/>
                <w:sz w:val="24"/>
              </w:rPr>
            </w:pPr>
          </w:p>
          <w:p w14:paraId="58A0459B">
            <w:pPr>
              <w:jc w:val="center"/>
              <w:rPr>
                <w:rFonts w:hint="eastAsia"/>
                <w:sz w:val="24"/>
              </w:rPr>
            </w:pPr>
          </w:p>
          <w:p w14:paraId="0B9CFD6C">
            <w:pPr>
              <w:jc w:val="center"/>
              <w:rPr>
                <w:rFonts w:hint="eastAsia"/>
                <w:sz w:val="24"/>
              </w:rPr>
            </w:pPr>
          </w:p>
          <w:p w14:paraId="509D0699">
            <w:pPr>
              <w:jc w:val="center"/>
              <w:rPr>
                <w:rFonts w:hint="eastAsia" w:eastAsia="宋体"/>
                <w:sz w:val="24"/>
                <w:lang w:val="en-US" w:eastAsia="zh-CN"/>
              </w:rPr>
            </w:pPr>
            <w:r>
              <w:rPr>
                <w:rFonts w:hint="eastAsia"/>
                <w:sz w:val="24"/>
              </w:rPr>
              <w:t>根据甲方要求</w:t>
            </w:r>
            <w:r>
              <w:rPr>
                <w:rFonts w:hint="eastAsia"/>
                <w:sz w:val="24"/>
                <w:lang w:val="en-US" w:eastAsia="zh-CN"/>
              </w:rPr>
              <w:t>来定</w:t>
            </w:r>
          </w:p>
        </w:tc>
      </w:tr>
      <w:tr w14:paraId="2481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83" w:type="pct"/>
            <w:vAlign w:val="center"/>
          </w:tcPr>
          <w:p w14:paraId="78D51C12">
            <w:pPr>
              <w:jc w:val="center"/>
              <w:rPr>
                <w:sz w:val="24"/>
              </w:rPr>
            </w:pPr>
            <w:r>
              <w:rPr>
                <w:rFonts w:hint="eastAsia"/>
                <w:sz w:val="24"/>
              </w:rPr>
              <w:t>鲫鱼</w:t>
            </w:r>
          </w:p>
        </w:tc>
        <w:tc>
          <w:tcPr>
            <w:tcW w:w="1515" w:type="pct"/>
            <w:vAlign w:val="center"/>
          </w:tcPr>
          <w:p w14:paraId="22A2E39D">
            <w:pPr>
              <w:jc w:val="left"/>
              <w:rPr>
                <w:sz w:val="24"/>
              </w:rPr>
            </w:pPr>
            <w:r>
              <w:rPr>
                <w:rFonts w:hint="eastAsia"/>
                <w:sz w:val="24"/>
              </w:rPr>
              <w:t>恩诺沙星和环丙沙星</w:t>
            </w:r>
          </w:p>
        </w:tc>
        <w:tc>
          <w:tcPr>
            <w:tcW w:w="712" w:type="pct"/>
            <w:vAlign w:val="center"/>
          </w:tcPr>
          <w:p w14:paraId="5E02C84A">
            <w:pPr>
              <w:jc w:val="center"/>
              <w:rPr>
                <w:sz w:val="24"/>
              </w:rPr>
            </w:pPr>
            <w:r>
              <w:rPr>
                <w:rFonts w:hint="eastAsia"/>
                <w:sz w:val="24"/>
              </w:rPr>
              <w:t>天天检</w:t>
            </w:r>
          </w:p>
        </w:tc>
        <w:tc>
          <w:tcPr>
            <w:tcW w:w="1858" w:type="pct"/>
            <w:vAlign w:val="center"/>
          </w:tcPr>
          <w:p w14:paraId="2BCA98F3">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vAlign w:val="center"/>
          </w:tcPr>
          <w:p w14:paraId="165A627E">
            <w:pPr>
              <w:jc w:val="center"/>
              <w:rPr>
                <w:sz w:val="24"/>
              </w:rPr>
            </w:pPr>
          </w:p>
        </w:tc>
      </w:tr>
      <w:tr w14:paraId="31B89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shd w:val="clear" w:color="auto" w:fill="auto"/>
            <w:vAlign w:val="center"/>
          </w:tcPr>
          <w:p w14:paraId="0ED2AFD3">
            <w:pPr>
              <w:jc w:val="center"/>
              <w:rPr>
                <w:sz w:val="24"/>
              </w:rPr>
            </w:pPr>
            <w:r>
              <w:rPr>
                <w:rFonts w:hint="eastAsia"/>
                <w:sz w:val="24"/>
              </w:rPr>
              <w:t>黄鳝</w:t>
            </w:r>
          </w:p>
        </w:tc>
        <w:tc>
          <w:tcPr>
            <w:tcW w:w="1515" w:type="pct"/>
            <w:shd w:val="clear" w:color="auto" w:fill="auto"/>
            <w:vAlign w:val="center"/>
          </w:tcPr>
          <w:p w14:paraId="43AFF2D7">
            <w:pPr>
              <w:jc w:val="left"/>
              <w:rPr>
                <w:sz w:val="24"/>
              </w:rPr>
            </w:pPr>
            <w:r>
              <w:rPr>
                <w:rFonts w:hint="eastAsia"/>
                <w:sz w:val="24"/>
              </w:rPr>
              <w:t>恩诺沙星和环丙沙星、磺胺类、氟苯尼考和氟苯尼考胺之和</w:t>
            </w:r>
          </w:p>
        </w:tc>
        <w:tc>
          <w:tcPr>
            <w:tcW w:w="712" w:type="pct"/>
            <w:shd w:val="clear" w:color="auto" w:fill="auto"/>
            <w:vAlign w:val="center"/>
          </w:tcPr>
          <w:p w14:paraId="5003FCFE">
            <w:pPr>
              <w:jc w:val="center"/>
              <w:rPr>
                <w:sz w:val="24"/>
              </w:rPr>
            </w:pPr>
            <w:r>
              <w:rPr>
                <w:rFonts w:hint="eastAsia" w:ascii="宋体" w:hAnsi="宋体" w:cs="宋体"/>
                <w:bCs/>
                <w:sz w:val="24"/>
              </w:rPr>
              <w:t>每三天至少检一次</w:t>
            </w:r>
          </w:p>
        </w:tc>
        <w:tc>
          <w:tcPr>
            <w:tcW w:w="1858" w:type="pct"/>
            <w:shd w:val="clear" w:color="auto" w:fill="auto"/>
            <w:vAlign w:val="center"/>
          </w:tcPr>
          <w:p w14:paraId="440D82C7">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shd w:val="clear" w:color="auto" w:fill="auto"/>
            <w:vAlign w:val="center"/>
          </w:tcPr>
          <w:p w14:paraId="555ED25A">
            <w:pPr>
              <w:jc w:val="center"/>
              <w:rPr>
                <w:sz w:val="24"/>
              </w:rPr>
            </w:pPr>
          </w:p>
        </w:tc>
      </w:tr>
      <w:tr w14:paraId="3E93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shd w:val="clear" w:color="auto" w:fill="auto"/>
            <w:vAlign w:val="center"/>
          </w:tcPr>
          <w:p w14:paraId="11FF2470">
            <w:pPr>
              <w:jc w:val="center"/>
              <w:rPr>
                <w:sz w:val="24"/>
              </w:rPr>
            </w:pPr>
            <w:r>
              <w:rPr>
                <w:sz w:val="24"/>
              </w:rPr>
              <w:t>牛蛙</w:t>
            </w:r>
          </w:p>
        </w:tc>
        <w:tc>
          <w:tcPr>
            <w:tcW w:w="1515" w:type="pct"/>
            <w:shd w:val="clear" w:color="auto" w:fill="auto"/>
            <w:vAlign w:val="center"/>
          </w:tcPr>
          <w:p w14:paraId="042594BD">
            <w:pPr>
              <w:jc w:val="left"/>
              <w:rPr>
                <w:sz w:val="24"/>
              </w:rPr>
            </w:pPr>
            <w:r>
              <w:rPr>
                <w:rFonts w:hint="eastAsia"/>
                <w:sz w:val="24"/>
              </w:rPr>
              <w:t>恩诺沙星和环丙沙星、磺胺类、氟苯尼考和氟苯尼考胺之和、甲硝唑</w:t>
            </w:r>
          </w:p>
        </w:tc>
        <w:tc>
          <w:tcPr>
            <w:tcW w:w="712" w:type="pct"/>
            <w:shd w:val="clear" w:color="auto" w:fill="auto"/>
            <w:vAlign w:val="center"/>
          </w:tcPr>
          <w:p w14:paraId="30C7C50B">
            <w:pPr>
              <w:jc w:val="center"/>
              <w:rPr>
                <w:sz w:val="24"/>
              </w:rPr>
            </w:pPr>
            <w:r>
              <w:rPr>
                <w:rFonts w:hint="eastAsia" w:ascii="宋体" w:hAnsi="宋体" w:cs="宋体"/>
                <w:bCs/>
                <w:sz w:val="24"/>
              </w:rPr>
              <w:t>每三天至少检一次</w:t>
            </w:r>
          </w:p>
        </w:tc>
        <w:tc>
          <w:tcPr>
            <w:tcW w:w="1858" w:type="pct"/>
            <w:shd w:val="clear" w:color="auto" w:fill="auto"/>
            <w:vAlign w:val="center"/>
          </w:tcPr>
          <w:p w14:paraId="7ADEFB2D">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shd w:val="clear" w:color="auto" w:fill="auto"/>
            <w:vAlign w:val="center"/>
          </w:tcPr>
          <w:p w14:paraId="5756F8CA">
            <w:pPr>
              <w:jc w:val="center"/>
              <w:rPr>
                <w:sz w:val="24"/>
              </w:rPr>
            </w:pPr>
          </w:p>
        </w:tc>
      </w:tr>
      <w:tr w14:paraId="2927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shd w:val="clear" w:color="auto" w:fill="auto"/>
            <w:vAlign w:val="center"/>
          </w:tcPr>
          <w:p w14:paraId="30EE150D">
            <w:pPr>
              <w:jc w:val="center"/>
              <w:rPr>
                <w:sz w:val="24"/>
              </w:rPr>
            </w:pPr>
            <w:r>
              <w:rPr>
                <w:rFonts w:hint="eastAsia"/>
                <w:sz w:val="24"/>
              </w:rPr>
              <w:t>泥鳅</w:t>
            </w:r>
          </w:p>
        </w:tc>
        <w:tc>
          <w:tcPr>
            <w:tcW w:w="1515" w:type="pct"/>
            <w:shd w:val="clear" w:color="auto" w:fill="auto"/>
            <w:vAlign w:val="center"/>
          </w:tcPr>
          <w:p w14:paraId="38AA6FA9">
            <w:pPr>
              <w:jc w:val="left"/>
              <w:rPr>
                <w:sz w:val="24"/>
              </w:rPr>
            </w:pPr>
            <w:r>
              <w:rPr>
                <w:rFonts w:hint="eastAsia"/>
                <w:sz w:val="24"/>
              </w:rPr>
              <w:t>恩诺沙星和环丙沙星、磺胺类</w:t>
            </w:r>
          </w:p>
        </w:tc>
        <w:tc>
          <w:tcPr>
            <w:tcW w:w="712" w:type="pct"/>
            <w:shd w:val="clear" w:color="auto" w:fill="auto"/>
            <w:vAlign w:val="center"/>
          </w:tcPr>
          <w:p w14:paraId="7D8A7B5C">
            <w:pPr>
              <w:jc w:val="center"/>
              <w:rPr>
                <w:sz w:val="24"/>
              </w:rPr>
            </w:pPr>
            <w:r>
              <w:rPr>
                <w:rFonts w:hint="eastAsia" w:ascii="宋体" w:hAnsi="宋体" w:cs="宋体"/>
                <w:bCs/>
                <w:sz w:val="24"/>
              </w:rPr>
              <w:t>每三天至少检一次</w:t>
            </w:r>
          </w:p>
        </w:tc>
        <w:tc>
          <w:tcPr>
            <w:tcW w:w="1858" w:type="pct"/>
            <w:shd w:val="clear" w:color="auto" w:fill="auto"/>
            <w:vAlign w:val="center"/>
          </w:tcPr>
          <w:p w14:paraId="44AB77E0">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shd w:val="clear" w:color="auto" w:fill="auto"/>
            <w:vAlign w:val="center"/>
          </w:tcPr>
          <w:p w14:paraId="0122A52B">
            <w:pPr>
              <w:jc w:val="center"/>
              <w:rPr>
                <w:sz w:val="24"/>
              </w:rPr>
            </w:pPr>
          </w:p>
        </w:tc>
      </w:tr>
      <w:tr w14:paraId="2A82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shd w:val="clear" w:color="auto" w:fill="auto"/>
            <w:vAlign w:val="center"/>
          </w:tcPr>
          <w:p w14:paraId="5CEEDE96">
            <w:pPr>
              <w:jc w:val="center"/>
              <w:rPr>
                <w:sz w:val="24"/>
              </w:rPr>
            </w:pPr>
            <w:r>
              <w:rPr>
                <w:rFonts w:hint="eastAsia"/>
                <w:sz w:val="24"/>
              </w:rPr>
              <w:t>大口黑鲈</w:t>
            </w:r>
          </w:p>
        </w:tc>
        <w:tc>
          <w:tcPr>
            <w:tcW w:w="1515" w:type="pct"/>
            <w:shd w:val="clear" w:color="auto" w:fill="auto"/>
            <w:vAlign w:val="center"/>
          </w:tcPr>
          <w:p w14:paraId="52DE1B56">
            <w:pPr>
              <w:jc w:val="left"/>
              <w:rPr>
                <w:sz w:val="24"/>
              </w:rPr>
            </w:pPr>
            <w:r>
              <w:rPr>
                <w:rFonts w:hint="eastAsia"/>
                <w:sz w:val="24"/>
              </w:rPr>
              <w:t>恩诺沙星和环丙沙星、磺胺类、氟苯尼考和氟苯尼考胺之和</w:t>
            </w:r>
          </w:p>
        </w:tc>
        <w:tc>
          <w:tcPr>
            <w:tcW w:w="712" w:type="pct"/>
            <w:shd w:val="clear" w:color="auto" w:fill="auto"/>
            <w:vAlign w:val="center"/>
          </w:tcPr>
          <w:p w14:paraId="2DCB978C">
            <w:pPr>
              <w:jc w:val="center"/>
              <w:rPr>
                <w:sz w:val="24"/>
              </w:rPr>
            </w:pPr>
            <w:r>
              <w:rPr>
                <w:rFonts w:hint="eastAsia" w:ascii="宋体" w:hAnsi="宋体" w:cs="宋体"/>
                <w:bCs/>
                <w:sz w:val="24"/>
              </w:rPr>
              <w:t>每三天至少检一次</w:t>
            </w:r>
          </w:p>
        </w:tc>
        <w:tc>
          <w:tcPr>
            <w:tcW w:w="1858" w:type="pct"/>
            <w:shd w:val="clear" w:color="auto" w:fill="auto"/>
            <w:vAlign w:val="center"/>
          </w:tcPr>
          <w:p w14:paraId="76819F83">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shd w:val="clear" w:color="auto" w:fill="auto"/>
            <w:vAlign w:val="center"/>
          </w:tcPr>
          <w:p w14:paraId="65D153A2">
            <w:pPr>
              <w:jc w:val="center"/>
              <w:rPr>
                <w:sz w:val="24"/>
              </w:rPr>
            </w:pPr>
          </w:p>
        </w:tc>
      </w:tr>
      <w:tr w14:paraId="0BDBE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6424960A">
            <w:pPr>
              <w:jc w:val="center"/>
              <w:rPr>
                <w:sz w:val="24"/>
              </w:rPr>
            </w:pPr>
            <w:r>
              <w:rPr>
                <w:rFonts w:hint="eastAsia"/>
                <w:sz w:val="24"/>
              </w:rPr>
              <w:t>乌鳢</w:t>
            </w:r>
          </w:p>
        </w:tc>
        <w:tc>
          <w:tcPr>
            <w:tcW w:w="1515" w:type="pct"/>
            <w:vAlign w:val="center"/>
          </w:tcPr>
          <w:p w14:paraId="6A9CE0E9">
            <w:pPr>
              <w:jc w:val="left"/>
              <w:rPr>
                <w:sz w:val="24"/>
              </w:rPr>
            </w:pPr>
            <w:r>
              <w:rPr>
                <w:rFonts w:hint="eastAsia"/>
                <w:sz w:val="24"/>
              </w:rPr>
              <w:t>恩诺沙星和环丙沙星、磺胺类、氟苯尼考和氟苯尼考胺之和</w:t>
            </w:r>
          </w:p>
        </w:tc>
        <w:tc>
          <w:tcPr>
            <w:tcW w:w="712" w:type="pct"/>
            <w:vAlign w:val="center"/>
          </w:tcPr>
          <w:p w14:paraId="1F6D3E56">
            <w:pPr>
              <w:jc w:val="center"/>
              <w:rPr>
                <w:sz w:val="24"/>
              </w:rPr>
            </w:pPr>
            <w:r>
              <w:rPr>
                <w:rFonts w:hint="eastAsia" w:ascii="宋体" w:hAnsi="宋体" w:cs="宋体"/>
                <w:bCs/>
                <w:sz w:val="24"/>
              </w:rPr>
              <w:t>每三天至少检一次</w:t>
            </w:r>
          </w:p>
        </w:tc>
        <w:tc>
          <w:tcPr>
            <w:tcW w:w="1858" w:type="pct"/>
            <w:vAlign w:val="center"/>
          </w:tcPr>
          <w:p w14:paraId="3CFD2E1A">
            <w:pPr>
              <w:jc w:val="center"/>
              <w:rPr>
                <w:sz w:val="24"/>
              </w:rPr>
            </w:pPr>
            <w:r>
              <w:rPr>
                <w:rFonts w:hint="eastAsia"/>
                <w:sz w:val="24"/>
                <w:lang w:val="en-US" w:eastAsia="zh-CN"/>
              </w:rPr>
              <w:t>具体检测参数</w:t>
            </w:r>
            <w:r>
              <w:rPr>
                <w:rFonts w:hint="eastAsia"/>
                <w:sz w:val="24"/>
              </w:rPr>
              <w:t>根据甲方</w:t>
            </w:r>
            <w:r>
              <w:rPr>
                <w:rFonts w:hint="eastAsia"/>
                <w:sz w:val="24"/>
                <w:lang w:val="en-US" w:eastAsia="zh-CN"/>
              </w:rPr>
              <w:t>实际情况</w:t>
            </w:r>
            <w:r>
              <w:rPr>
                <w:rFonts w:hint="eastAsia"/>
                <w:sz w:val="24"/>
              </w:rPr>
              <w:t>要求</w:t>
            </w:r>
            <w:r>
              <w:rPr>
                <w:rFonts w:hint="eastAsia"/>
                <w:sz w:val="24"/>
                <w:lang w:val="en-US" w:eastAsia="zh-CN"/>
              </w:rPr>
              <w:t>来定</w:t>
            </w:r>
          </w:p>
        </w:tc>
        <w:tc>
          <w:tcPr>
            <w:tcW w:w="430" w:type="pct"/>
            <w:vMerge w:val="continue"/>
            <w:vAlign w:val="center"/>
          </w:tcPr>
          <w:p w14:paraId="57DE7283">
            <w:pPr>
              <w:jc w:val="center"/>
              <w:rPr>
                <w:sz w:val="24"/>
              </w:rPr>
            </w:pPr>
          </w:p>
        </w:tc>
      </w:tr>
      <w:tr w14:paraId="0E2A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shd w:val="clear" w:color="auto" w:fill="auto"/>
            <w:vAlign w:val="center"/>
          </w:tcPr>
          <w:p w14:paraId="0E5F3A3D">
            <w:pPr>
              <w:jc w:val="center"/>
              <w:rPr>
                <w:sz w:val="24"/>
              </w:rPr>
            </w:pPr>
            <w:r>
              <w:rPr>
                <w:rFonts w:hint="eastAsia"/>
                <w:sz w:val="24"/>
              </w:rPr>
              <w:t>豇豆</w:t>
            </w:r>
          </w:p>
        </w:tc>
        <w:tc>
          <w:tcPr>
            <w:tcW w:w="1515" w:type="pct"/>
            <w:shd w:val="clear" w:color="auto" w:fill="auto"/>
            <w:vAlign w:val="center"/>
          </w:tcPr>
          <w:p w14:paraId="7649F685">
            <w:pPr>
              <w:jc w:val="left"/>
              <w:rPr>
                <w:sz w:val="24"/>
              </w:rPr>
            </w:pPr>
            <w:r>
              <w:rPr>
                <w:rFonts w:hint="eastAsia"/>
                <w:sz w:val="24"/>
              </w:rPr>
              <w:t>有机磷类胶体金、毒死蜱、氟虫腈</w:t>
            </w:r>
          </w:p>
        </w:tc>
        <w:tc>
          <w:tcPr>
            <w:tcW w:w="712" w:type="pct"/>
            <w:vAlign w:val="center"/>
          </w:tcPr>
          <w:p w14:paraId="0E834DA5">
            <w:pPr>
              <w:jc w:val="center"/>
              <w:rPr>
                <w:sz w:val="24"/>
              </w:rPr>
            </w:pPr>
            <w:r>
              <w:rPr>
                <w:rFonts w:hint="eastAsia" w:ascii="宋体" w:hAnsi="宋体" w:cs="宋体"/>
                <w:bCs/>
                <w:sz w:val="24"/>
              </w:rPr>
              <w:t>每天必检其一，循环检测</w:t>
            </w:r>
          </w:p>
        </w:tc>
        <w:tc>
          <w:tcPr>
            <w:tcW w:w="1858" w:type="pct"/>
            <w:vAlign w:val="center"/>
          </w:tcPr>
          <w:p w14:paraId="5E467A32">
            <w:pPr>
              <w:rPr>
                <w:sz w:val="24"/>
              </w:rPr>
            </w:pPr>
          </w:p>
        </w:tc>
        <w:tc>
          <w:tcPr>
            <w:tcW w:w="430" w:type="pct"/>
            <w:vAlign w:val="center"/>
          </w:tcPr>
          <w:p w14:paraId="50CAC666">
            <w:pPr>
              <w:rPr>
                <w:sz w:val="24"/>
              </w:rPr>
            </w:pPr>
          </w:p>
        </w:tc>
      </w:tr>
      <w:tr w14:paraId="0D2C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02748939">
            <w:pPr>
              <w:jc w:val="center"/>
              <w:rPr>
                <w:sz w:val="24"/>
              </w:rPr>
            </w:pPr>
            <w:r>
              <w:rPr>
                <w:rFonts w:hint="eastAsia"/>
                <w:sz w:val="24"/>
              </w:rPr>
              <w:t>芹菜</w:t>
            </w:r>
          </w:p>
        </w:tc>
        <w:tc>
          <w:tcPr>
            <w:tcW w:w="1515" w:type="pct"/>
            <w:vAlign w:val="center"/>
          </w:tcPr>
          <w:p w14:paraId="4BC11278">
            <w:pPr>
              <w:rPr>
                <w:sz w:val="24"/>
              </w:rPr>
            </w:pPr>
            <w:r>
              <w:rPr>
                <w:rFonts w:hint="eastAsia"/>
                <w:sz w:val="24"/>
              </w:rPr>
              <w:t>有机磷类胶体金、毒死蜱、氟虫腈</w:t>
            </w:r>
          </w:p>
        </w:tc>
        <w:tc>
          <w:tcPr>
            <w:tcW w:w="712" w:type="pct"/>
            <w:vAlign w:val="center"/>
          </w:tcPr>
          <w:p w14:paraId="48EE595E">
            <w:pPr>
              <w:jc w:val="center"/>
              <w:rPr>
                <w:sz w:val="24"/>
              </w:rPr>
            </w:pPr>
            <w:r>
              <w:rPr>
                <w:rFonts w:hint="eastAsia" w:ascii="宋体" w:hAnsi="宋体" w:cs="宋体"/>
                <w:bCs/>
                <w:sz w:val="24"/>
              </w:rPr>
              <w:t>每天必检其一，循环检测</w:t>
            </w:r>
          </w:p>
        </w:tc>
        <w:tc>
          <w:tcPr>
            <w:tcW w:w="1858" w:type="pct"/>
            <w:vAlign w:val="center"/>
          </w:tcPr>
          <w:p w14:paraId="7AE73879">
            <w:pPr>
              <w:jc w:val="center"/>
              <w:rPr>
                <w:sz w:val="24"/>
              </w:rPr>
            </w:pPr>
          </w:p>
        </w:tc>
        <w:tc>
          <w:tcPr>
            <w:tcW w:w="430" w:type="pct"/>
            <w:vAlign w:val="center"/>
          </w:tcPr>
          <w:p w14:paraId="136E652F">
            <w:pPr>
              <w:jc w:val="center"/>
              <w:rPr>
                <w:sz w:val="24"/>
              </w:rPr>
            </w:pPr>
          </w:p>
        </w:tc>
      </w:tr>
      <w:tr w14:paraId="02B5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7C58CA8C">
            <w:pPr>
              <w:jc w:val="center"/>
              <w:rPr>
                <w:sz w:val="24"/>
              </w:rPr>
            </w:pPr>
            <w:r>
              <w:rPr>
                <w:rFonts w:hint="eastAsia"/>
                <w:sz w:val="24"/>
              </w:rPr>
              <w:t>辣椒</w:t>
            </w:r>
          </w:p>
        </w:tc>
        <w:tc>
          <w:tcPr>
            <w:tcW w:w="1515" w:type="pct"/>
            <w:vAlign w:val="center"/>
          </w:tcPr>
          <w:p w14:paraId="755F5784">
            <w:pPr>
              <w:rPr>
                <w:sz w:val="24"/>
              </w:rPr>
            </w:pPr>
            <w:r>
              <w:rPr>
                <w:rFonts w:hint="eastAsia"/>
                <w:sz w:val="24"/>
              </w:rPr>
              <w:t>有机磷和氨基甲酸酯</w:t>
            </w:r>
          </w:p>
        </w:tc>
        <w:tc>
          <w:tcPr>
            <w:tcW w:w="712" w:type="pct"/>
            <w:vAlign w:val="center"/>
          </w:tcPr>
          <w:p w14:paraId="65AD4A21">
            <w:pPr>
              <w:jc w:val="center"/>
              <w:rPr>
                <w:sz w:val="24"/>
              </w:rPr>
            </w:pPr>
            <w:r>
              <w:rPr>
                <w:rFonts w:hint="eastAsia" w:ascii="宋体" w:hAnsi="宋体" w:cs="宋体"/>
                <w:bCs/>
                <w:sz w:val="24"/>
              </w:rPr>
              <w:t>每天必检其一，循环检测</w:t>
            </w:r>
          </w:p>
        </w:tc>
        <w:tc>
          <w:tcPr>
            <w:tcW w:w="1858" w:type="pct"/>
            <w:vAlign w:val="center"/>
          </w:tcPr>
          <w:p w14:paraId="4401B279">
            <w:pPr>
              <w:jc w:val="center"/>
              <w:rPr>
                <w:sz w:val="24"/>
              </w:rPr>
            </w:pPr>
          </w:p>
        </w:tc>
        <w:tc>
          <w:tcPr>
            <w:tcW w:w="430" w:type="pct"/>
            <w:vAlign w:val="center"/>
          </w:tcPr>
          <w:p w14:paraId="1028A7AC">
            <w:pPr>
              <w:jc w:val="center"/>
              <w:rPr>
                <w:sz w:val="24"/>
              </w:rPr>
            </w:pPr>
          </w:p>
        </w:tc>
      </w:tr>
      <w:tr w14:paraId="01C23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7C3AAD4F">
            <w:pPr>
              <w:jc w:val="center"/>
              <w:rPr>
                <w:sz w:val="24"/>
              </w:rPr>
            </w:pPr>
            <w:r>
              <w:rPr>
                <w:rFonts w:hint="eastAsia"/>
                <w:sz w:val="24"/>
              </w:rPr>
              <w:t>鹌鹑蛋</w:t>
            </w:r>
          </w:p>
        </w:tc>
        <w:tc>
          <w:tcPr>
            <w:tcW w:w="1515" w:type="pct"/>
            <w:vAlign w:val="center"/>
          </w:tcPr>
          <w:p w14:paraId="7217ADA7">
            <w:pPr>
              <w:rPr>
                <w:sz w:val="24"/>
              </w:rPr>
            </w:pPr>
            <w:r>
              <w:rPr>
                <w:rFonts w:hint="eastAsia"/>
                <w:sz w:val="24"/>
              </w:rPr>
              <w:t>氟苯尼考（禽蛋）、恩诺环丙二合一，磺胺类</w:t>
            </w:r>
          </w:p>
        </w:tc>
        <w:tc>
          <w:tcPr>
            <w:tcW w:w="712" w:type="pct"/>
            <w:vAlign w:val="center"/>
          </w:tcPr>
          <w:p w14:paraId="116DDD7A">
            <w:pPr>
              <w:jc w:val="center"/>
              <w:rPr>
                <w:sz w:val="24"/>
              </w:rPr>
            </w:pPr>
            <w:r>
              <w:rPr>
                <w:rFonts w:hint="eastAsia" w:ascii="宋体" w:hAnsi="宋体" w:cs="宋体"/>
                <w:bCs/>
                <w:sz w:val="24"/>
              </w:rPr>
              <w:t>每周至少检一次</w:t>
            </w:r>
          </w:p>
        </w:tc>
        <w:tc>
          <w:tcPr>
            <w:tcW w:w="1858" w:type="pct"/>
            <w:vAlign w:val="center"/>
          </w:tcPr>
          <w:p w14:paraId="3ED643E6">
            <w:pPr>
              <w:jc w:val="center"/>
              <w:rPr>
                <w:sz w:val="24"/>
              </w:rPr>
            </w:pPr>
          </w:p>
        </w:tc>
        <w:tc>
          <w:tcPr>
            <w:tcW w:w="430" w:type="pct"/>
            <w:vAlign w:val="center"/>
          </w:tcPr>
          <w:p w14:paraId="3CF79955">
            <w:pPr>
              <w:jc w:val="center"/>
              <w:rPr>
                <w:sz w:val="24"/>
              </w:rPr>
            </w:pPr>
          </w:p>
        </w:tc>
      </w:tr>
      <w:tr w14:paraId="1A33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 w:type="pct"/>
            <w:vAlign w:val="center"/>
          </w:tcPr>
          <w:p w14:paraId="12AC3128">
            <w:pPr>
              <w:jc w:val="center"/>
              <w:rPr>
                <w:sz w:val="24"/>
              </w:rPr>
            </w:pPr>
            <w:r>
              <w:rPr>
                <w:rFonts w:hint="eastAsia"/>
                <w:sz w:val="24"/>
              </w:rPr>
              <w:t>鸡蛋</w:t>
            </w:r>
          </w:p>
        </w:tc>
        <w:tc>
          <w:tcPr>
            <w:tcW w:w="1515" w:type="pct"/>
            <w:vAlign w:val="center"/>
          </w:tcPr>
          <w:p w14:paraId="72E674D1">
            <w:pPr>
              <w:rPr>
                <w:sz w:val="24"/>
              </w:rPr>
            </w:pPr>
            <w:r>
              <w:rPr>
                <w:rFonts w:hint="eastAsia"/>
                <w:sz w:val="24"/>
              </w:rPr>
              <w:t>氟苯尼考（禽蛋）、恩诺环丙二合一，磺胺类</w:t>
            </w:r>
          </w:p>
        </w:tc>
        <w:tc>
          <w:tcPr>
            <w:tcW w:w="712" w:type="pct"/>
            <w:vAlign w:val="center"/>
          </w:tcPr>
          <w:p w14:paraId="0E1C69FE">
            <w:pPr>
              <w:jc w:val="center"/>
              <w:rPr>
                <w:sz w:val="24"/>
              </w:rPr>
            </w:pPr>
            <w:r>
              <w:rPr>
                <w:rFonts w:hint="eastAsia" w:ascii="宋体" w:hAnsi="宋体" w:cs="宋体"/>
                <w:bCs/>
                <w:sz w:val="24"/>
              </w:rPr>
              <w:t>每周至少检一次</w:t>
            </w:r>
          </w:p>
        </w:tc>
        <w:tc>
          <w:tcPr>
            <w:tcW w:w="1858" w:type="pct"/>
            <w:vAlign w:val="center"/>
          </w:tcPr>
          <w:p w14:paraId="731AF6AF">
            <w:pPr>
              <w:jc w:val="center"/>
              <w:rPr>
                <w:sz w:val="24"/>
              </w:rPr>
            </w:pPr>
          </w:p>
        </w:tc>
        <w:tc>
          <w:tcPr>
            <w:tcW w:w="430" w:type="pct"/>
            <w:vAlign w:val="center"/>
          </w:tcPr>
          <w:p w14:paraId="6C76875D">
            <w:pPr>
              <w:jc w:val="center"/>
              <w:rPr>
                <w:sz w:val="24"/>
              </w:rPr>
            </w:pPr>
          </w:p>
        </w:tc>
      </w:tr>
    </w:tbl>
    <w:p w14:paraId="573C0D23">
      <w:pPr>
        <w:spacing w:line="460" w:lineRule="exact"/>
        <w:rPr>
          <w:rFonts w:ascii="宋体" w:hAnsi="宋体"/>
          <w:b/>
          <w:bCs/>
          <w:sz w:val="24"/>
        </w:rPr>
      </w:pPr>
      <w:r>
        <w:rPr>
          <w:rFonts w:hint="eastAsia" w:ascii="宋体" w:hAnsi="宋体"/>
          <w:b/>
          <w:bCs/>
          <w:sz w:val="24"/>
        </w:rPr>
        <w:t>表二、</w:t>
      </w:r>
      <w:r>
        <w:rPr>
          <w:rFonts w:ascii="宋体" w:hAnsi="宋体"/>
          <w:b/>
          <w:bCs/>
          <w:sz w:val="24"/>
        </w:rPr>
        <w:t>果蔬、面制品</w:t>
      </w:r>
      <w:r>
        <w:rPr>
          <w:rFonts w:hint="eastAsia" w:ascii="宋体" w:hAnsi="宋体"/>
          <w:b/>
          <w:bCs/>
          <w:sz w:val="24"/>
        </w:rPr>
        <w:t>、</w:t>
      </w:r>
      <w:r>
        <w:rPr>
          <w:rFonts w:ascii="宋体" w:hAnsi="宋体"/>
          <w:b/>
          <w:bCs/>
          <w:sz w:val="24"/>
        </w:rPr>
        <w:tab/>
      </w:r>
      <w:r>
        <w:rPr>
          <w:rFonts w:ascii="宋体" w:hAnsi="宋体"/>
          <w:b/>
          <w:bCs/>
          <w:sz w:val="24"/>
        </w:rPr>
        <w:t>畜禽肉</w:t>
      </w:r>
      <w:r>
        <w:rPr>
          <w:rFonts w:hint="eastAsia" w:ascii="宋体" w:hAnsi="宋体"/>
          <w:b/>
          <w:bCs/>
          <w:sz w:val="24"/>
        </w:rPr>
        <w:t>等检测品种、类别和项目如下：</w:t>
      </w:r>
    </w:p>
    <w:tbl>
      <w:tblPr>
        <w:tblStyle w:val="17"/>
        <w:tblW w:w="4999" w:type="pct"/>
        <w:jc w:val="center"/>
        <w:tblLayout w:type="autofit"/>
        <w:tblCellMar>
          <w:top w:w="0" w:type="dxa"/>
          <w:left w:w="10" w:type="dxa"/>
          <w:bottom w:w="0" w:type="dxa"/>
          <w:right w:w="10" w:type="dxa"/>
        </w:tblCellMar>
      </w:tblPr>
      <w:tblGrid>
        <w:gridCol w:w="1437"/>
        <w:gridCol w:w="4357"/>
        <w:gridCol w:w="4058"/>
      </w:tblGrid>
      <w:tr w14:paraId="48FD0039">
        <w:tblPrEx>
          <w:tblCellMar>
            <w:top w:w="0" w:type="dxa"/>
            <w:left w:w="10" w:type="dxa"/>
            <w:bottom w:w="0" w:type="dxa"/>
            <w:right w:w="10" w:type="dxa"/>
          </w:tblCellMar>
        </w:tblPrEx>
        <w:trPr>
          <w:trHeight w:val="513" w:hRule="atLeast"/>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D0EDF4">
            <w:pPr>
              <w:spacing w:line="320" w:lineRule="exact"/>
              <w:jc w:val="center"/>
              <w:rPr>
                <w:rFonts w:ascii="宋体" w:hAnsi="宋体"/>
                <w:b/>
                <w:bCs/>
                <w:sz w:val="28"/>
                <w:szCs w:val="28"/>
              </w:rPr>
            </w:pPr>
            <w:r>
              <w:rPr>
                <w:rFonts w:ascii="宋体" w:hAnsi="宋体"/>
                <w:b/>
                <w:bCs/>
                <w:sz w:val="28"/>
                <w:szCs w:val="28"/>
              </w:rPr>
              <w:t>种类</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45753F">
            <w:pPr>
              <w:spacing w:line="320" w:lineRule="exact"/>
              <w:jc w:val="center"/>
              <w:rPr>
                <w:rFonts w:ascii="宋体" w:hAnsi="宋体"/>
                <w:b/>
                <w:bCs/>
                <w:sz w:val="28"/>
                <w:szCs w:val="28"/>
              </w:rPr>
            </w:pPr>
            <w:r>
              <w:rPr>
                <w:rFonts w:ascii="宋体" w:hAnsi="宋体"/>
                <w:b/>
                <w:bCs/>
                <w:sz w:val="28"/>
                <w:szCs w:val="28"/>
              </w:rPr>
              <w:t>重点快检品种</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AFAFEE">
            <w:pPr>
              <w:spacing w:line="320" w:lineRule="exact"/>
              <w:jc w:val="center"/>
              <w:rPr>
                <w:rFonts w:ascii="宋体" w:hAnsi="宋体"/>
                <w:b/>
                <w:bCs/>
                <w:sz w:val="28"/>
                <w:szCs w:val="28"/>
              </w:rPr>
            </w:pPr>
            <w:r>
              <w:rPr>
                <w:rFonts w:ascii="宋体" w:hAnsi="宋体"/>
                <w:b/>
                <w:bCs/>
                <w:sz w:val="28"/>
                <w:szCs w:val="28"/>
              </w:rPr>
              <w:t>重点快检项目</w:t>
            </w:r>
          </w:p>
        </w:tc>
      </w:tr>
      <w:tr w14:paraId="59F131E9">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CFE5E7A">
            <w:pPr>
              <w:jc w:val="center"/>
              <w:rPr>
                <w:rFonts w:hint="eastAsia"/>
                <w:sz w:val="24"/>
              </w:rPr>
            </w:pPr>
            <w:r>
              <w:rPr>
                <w:rFonts w:hint="eastAsia"/>
                <w:sz w:val="24"/>
              </w:rPr>
              <w:t>蔬菜</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7B4B02">
            <w:pPr>
              <w:rPr>
                <w:rFonts w:hint="eastAsia"/>
                <w:sz w:val="24"/>
              </w:rPr>
            </w:pPr>
            <w:r>
              <w:rPr>
                <w:rFonts w:hint="eastAsia"/>
                <w:sz w:val="24"/>
              </w:rPr>
              <w:t>生菜、菜心、上海青、苦麦菜、黄白菜、小白菜、芥兰、芹菜、韭菜、西兰花、青瓜、茄子、四季豆、豇豆、土豆等</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F959A7">
            <w:pPr>
              <w:rPr>
                <w:rFonts w:hint="eastAsia"/>
                <w:sz w:val="24"/>
              </w:rPr>
            </w:pPr>
            <w:r>
              <w:rPr>
                <w:rFonts w:hint="eastAsia"/>
                <w:sz w:val="24"/>
              </w:rPr>
              <w:t>有机磷类、氨基甲酸酯类、菊酯类、有机氯类农药、杀菌剂类农药等</w:t>
            </w:r>
          </w:p>
        </w:tc>
      </w:tr>
      <w:tr w14:paraId="7DDFEA1E">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14941C">
            <w:pPr>
              <w:jc w:val="center"/>
              <w:rPr>
                <w:rFonts w:hint="eastAsia"/>
                <w:sz w:val="24"/>
              </w:rPr>
            </w:pPr>
            <w:r>
              <w:rPr>
                <w:rFonts w:hint="eastAsia"/>
                <w:sz w:val="24"/>
              </w:rPr>
              <w:t>水果</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82AF31">
            <w:pPr>
              <w:rPr>
                <w:rFonts w:hint="eastAsia"/>
                <w:sz w:val="24"/>
              </w:rPr>
            </w:pPr>
            <w:r>
              <w:rPr>
                <w:rFonts w:hint="eastAsia"/>
                <w:sz w:val="24"/>
              </w:rPr>
              <w:t>苹果、桔子、梨、橙子、香蕉、桃子等</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87CD69">
            <w:pPr>
              <w:rPr>
                <w:rFonts w:hint="eastAsia"/>
                <w:sz w:val="24"/>
              </w:rPr>
            </w:pPr>
            <w:r>
              <w:rPr>
                <w:rFonts w:hint="eastAsia"/>
                <w:sz w:val="24"/>
              </w:rPr>
              <w:t>有机磷类、氨基甲酸酯类、菊酯类、有机氯类农药、杀菌剂类农药等</w:t>
            </w:r>
          </w:p>
        </w:tc>
      </w:tr>
      <w:tr w14:paraId="2736D8AB">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256ADA">
            <w:pPr>
              <w:jc w:val="center"/>
              <w:rPr>
                <w:rFonts w:hint="eastAsia"/>
                <w:sz w:val="24"/>
              </w:rPr>
            </w:pPr>
            <w:r>
              <w:rPr>
                <w:rFonts w:hint="eastAsia"/>
                <w:sz w:val="24"/>
              </w:rPr>
              <w:t>畜禽肉类</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80DAAD">
            <w:pPr>
              <w:rPr>
                <w:rFonts w:hint="eastAsia"/>
                <w:sz w:val="24"/>
              </w:rPr>
            </w:pPr>
            <w:r>
              <w:rPr>
                <w:rFonts w:hint="eastAsia"/>
                <w:sz w:val="24"/>
              </w:rPr>
              <w:t>猪肉、牛肉、羊肉、鸡肉等</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520281">
            <w:pPr>
              <w:rPr>
                <w:rFonts w:hint="eastAsia"/>
                <w:sz w:val="24"/>
              </w:rPr>
            </w:pPr>
            <w:r>
              <w:rPr>
                <w:rFonts w:hint="eastAsia"/>
                <w:sz w:val="24"/>
              </w:rPr>
              <w:t>盐酸克伦特罗，沙丁胺醇，莱克多巴胺，硝基呋喃类，氯霉素，磺胺类</w:t>
            </w:r>
          </w:p>
        </w:tc>
      </w:tr>
      <w:tr w14:paraId="01D78C90">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E22EEBC">
            <w:pPr>
              <w:jc w:val="center"/>
              <w:rPr>
                <w:rFonts w:hint="eastAsia"/>
                <w:sz w:val="24"/>
              </w:rPr>
            </w:pPr>
            <w:r>
              <w:rPr>
                <w:rFonts w:hint="eastAsia"/>
                <w:sz w:val="24"/>
              </w:rPr>
              <w:t>食用植物油</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2DA19A">
            <w:pPr>
              <w:rPr>
                <w:rFonts w:hint="eastAsia"/>
                <w:sz w:val="24"/>
              </w:rPr>
            </w:pPr>
            <w:r>
              <w:rPr>
                <w:rFonts w:hint="eastAsia"/>
                <w:sz w:val="24"/>
              </w:rPr>
              <w:t>食用油（煎炸油）等</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A9D5BCC">
            <w:pPr>
              <w:rPr>
                <w:rFonts w:hint="eastAsia"/>
                <w:sz w:val="24"/>
              </w:rPr>
            </w:pPr>
            <w:r>
              <w:rPr>
                <w:rFonts w:hint="eastAsia"/>
                <w:sz w:val="24"/>
              </w:rPr>
              <w:t>酸价、过氧化值</w:t>
            </w:r>
          </w:p>
        </w:tc>
      </w:tr>
      <w:tr w14:paraId="13484081">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380FB5">
            <w:pPr>
              <w:jc w:val="center"/>
              <w:rPr>
                <w:rFonts w:hint="eastAsia"/>
                <w:sz w:val="24"/>
              </w:rPr>
            </w:pPr>
            <w:r>
              <w:rPr>
                <w:rFonts w:hint="eastAsia"/>
                <w:sz w:val="24"/>
              </w:rPr>
              <w:t>粮食加工品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BF70B8">
            <w:pPr>
              <w:rPr>
                <w:rFonts w:hint="eastAsia"/>
                <w:sz w:val="24"/>
              </w:rPr>
            </w:pPr>
            <w:r>
              <w:rPr>
                <w:rFonts w:hint="eastAsia"/>
                <w:sz w:val="24"/>
              </w:rPr>
              <w:t>小麦粉、生湿面制品</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5404C8">
            <w:pPr>
              <w:rPr>
                <w:rFonts w:hint="eastAsia"/>
                <w:sz w:val="24"/>
              </w:rPr>
            </w:pPr>
            <w:r>
              <w:rPr>
                <w:rFonts w:hint="eastAsia"/>
                <w:sz w:val="24"/>
              </w:rPr>
              <w:t>吊白块、过氧化苯甲酰</w:t>
            </w:r>
          </w:p>
        </w:tc>
      </w:tr>
      <w:tr w14:paraId="57CFA7DC">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DF5227">
            <w:pPr>
              <w:jc w:val="center"/>
              <w:rPr>
                <w:rFonts w:hint="eastAsia"/>
                <w:sz w:val="24"/>
              </w:rPr>
            </w:pPr>
            <w:r>
              <w:rPr>
                <w:rFonts w:hint="eastAsia"/>
                <w:sz w:val="24"/>
              </w:rPr>
              <w:t>粮食加工品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5F9255">
            <w:pPr>
              <w:rPr>
                <w:rFonts w:hint="eastAsia"/>
                <w:sz w:val="24"/>
              </w:rPr>
            </w:pPr>
            <w:r>
              <w:rPr>
                <w:rFonts w:hint="eastAsia"/>
                <w:sz w:val="24"/>
              </w:rPr>
              <w:t xml:space="preserve">大米 </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7DC3DC">
            <w:pPr>
              <w:rPr>
                <w:rFonts w:hint="eastAsia"/>
                <w:sz w:val="24"/>
              </w:rPr>
            </w:pPr>
            <w:r>
              <w:rPr>
                <w:rFonts w:hint="eastAsia"/>
                <w:sz w:val="24"/>
              </w:rPr>
              <w:t>黄曲霉毒素B1</w:t>
            </w:r>
          </w:p>
        </w:tc>
      </w:tr>
      <w:tr w14:paraId="50197278">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4679410">
            <w:pPr>
              <w:jc w:val="center"/>
              <w:rPr>
                <w:rFonts w:hint="eastAsia"/>
                <w:sz w:val="24"/>
              </w:rPr>
            </w:pPr>
            <w:r>
              <w:rPr>
                <w:rFonts w:hint="eastAsia"/>
                <w:sz w:val="24"/>
              </w:rPr>
              <w:t>米面制品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4A80E4B">
            <w:pPr>
              <w:rPr>
                <w:rFonts w:hint="eastAsia"/>
                <w:sz w:val="24"/>
              </w:rPr>
            </w:pPr>
            <w:r>
              <w:rPr>
                <w:rFonts w:hint="eastAsia"/>
                <w:sz w:val="24"/>
              </w:rPr>
              <w:t>馒头、发糕、油条</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391CF9">
            <w:pPr>
              <w:rPr>
                <w:rFonts w:hint="eastAsia"/>
                <w:sz w:val="24"/>
              </w:rPr>
            </w:pPr>
            <w:r>
              <w:rPr>
                <w:rFonts w:hint="eastAsia"/>
                <w:sz w:val="24"/>
              </w:rPr>
              <w:t>硫酸铝钾、硫酸铝铵</w:t>
            </w:r>
          </w:p>
        </w:tc>
      </w:tr>
      <w:tr w14:paraId="027B895D">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4942A7">
            <w:pPr>
              <w:jc w:val="center"/>
              <w:rPr>
                <w:rFonts w:hint="eastAsia"/>
                <w:sz w:val="24"/>
              </w:rPr>
            </w:pPr>
            <w:r>
              <w:rPr>
                <w:rFonts w:hint="eastAsia"/>
                <w:sz w:val="24"/>
              </w:rPr>
              <w:t>肉制品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8EF16F">
            <w:pPr>
              <w:rPr>
                <w:rFonts w:hint="eastAsia"/>
                <w:sz w:val="24"/>
              </w:rPr>
            </w:pPr>
            <w:r>
              <w:rPr>
                <w:rFonts w:hint="eastAsia"/>
                <w:sz w:val="24"/>
              </w:rPr>
              <w:t>散装熟卤肉制品</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D11766">
            <w:pPr>
              <w:rPr>
                <w:rFonts w:hint="eastAsia"/>
                <w:sz w:val="24"/>
              </w:rPr>
            </w:pPr>
            <w:r>
              <w:rPr>
                <w:rFonts w:hint="eastAsia"/>
                <w:sz w:val="24"/>
              </w:rPr>
              <w:t>亚硝酸盐）</w:t>
            </w:r>
          </w:p>
        </w:tc>
      </w:tr>
      <w:tr w14:paraId="77806968">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515813">
            <w:pPr>
              <w:jc w:val="center"/>
              <w:rPr>
                <w:rFonts w:hint="eastAsia"/>
                <w:sz w:val="24"/>
              </w:rPr>
            </w:pPr>
            <w:r>
              <w:rPr>
                <w:rFonts w:hint="eastAsia"/>
                <w:sz w:val="24"/>
              </w:rPr>
              <w:t>水产制品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ACBFF3">
            <w:pPr>
              <w:rPr>
                <w:rFonts w:hint="eastAsia"/>
                <w:sz w:val="24"/>
              </w:rPr>
            </w:pPr>
            <w:r>
              <w:rPr>
                <w:rFonts w:hint="eastAsia"/>
                <w:sz w:val="24"/>
              </w:rPr>
              <w:t>水产制品</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4C9F19">
            <w:pPr>
              <w:rPr>
                <w:rFonts w:hint="eastAsia"/>
                <w:sz w:val="24"/>
              </w:rPr>
            </w:pPr>
            <w:r>
              <w:rPr>
                <w:rFonts w:hint="eastAsia"/>
                <w:sz w:val="24"/>
              </w:rPr>
              <w:t>二氧化硫）</w:t>
            </w:r>
          </w:p>
        </w:tc>
      </w:tr>
      <w:tr w14:paraId="6E3F9091">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458A721">
            <w:pPr>
              <w:jc w:val="center"/>
              <w:rPr>
                <w:rFonts w:hint="eastAsia"/>
                <w:sz w:val="24"/>
              </w:rPr>
            </w:pPr>
            <w:r>
              <w:rPr>
                <w:rFonts w:hint="eastAsia"/>
                <w:sz w:val="24"/>
              </w:rPr>
              <w:t>水发产品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1069A4">
            <w:pPr>
              <w:rPr>
                <w:rFonts w:hint="eastAsia"/>
                <w:sz w:val="24"/>
              </w:rPr>
            </w:pPr>
            <w:r>
              <w:rPr>
                <w:rFonts w:hint="eastAsia"/>
                <w:sz w:val="24"/>
              </w:rPr>
              <w:t>水发产品</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B18B74">
            <w:pPr>
              <w:rPr>
                <w:rFonts w:hint="eastAsia"/>
                <w:sz w:val="24"/>
              </w:rPr>
            </w:pPr>
            <w:r>
              <w:rPr>
                <w:rFonts w:hint="eastAsia"/>
                <w:sz w:val="24"/>
              </w:rPr>
              <w:t>甲醛、双氧水</w:t>
            </w:r>
          </w:p>
        </w:tc>
      </w:tr>
      <w:tr w14:paraId="03DAC7C5">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9A0A0F">
            <w:pPr>
              <w:jc w:val="center"/>
              <w:rPr>
                <w:rFonts w:hint="eastAsia"/>
                <w:sz w:val="24"/>
              </w:rPr>
            </w:pPr>
            <w:r>
              <w:rPr>
                <w:rFonts w:hint="eastAsia"/>
                <w:sz w:val="24"/>
              </w:rPr>
              <w:t>淀粉制品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808CD6">
            <w:pPr>
              <w:rPr>
                <w:rFonts w:hint="eastAsia"/>
                <w:sz w:val="24"/>
              </w:rPr>
            </w:pPr>
            <w:r>
              <w:rPr>
                <w:rFonts w:hint="eastAsia"/>
                <w:sz w:val="24"/>
              </w:rPr>
              <w:t>粉丝、粉条、凉皮</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A7A7BC">
            <w:pPr>
              <w:rPr>
                <w:rFonts w:hint="eastAsia"/>
                <w:sz w:val="24"/>
              </w:rPr>
            </w:pPr>
            <w:r>
              <w:rPr>
                <w:rFonts w:hint="eastAsia"/>
                <w:sz w:val="24"/>
              </w:rPr>
              <w:t>铝的残留量、二氧化硫</w:t>
            </w:r>
          </w:p>
        </w:tc>
      </w:tr>
      <w:tr w14:paraId="12C4F295">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2E7654">
            <w:pPr>
              <w:jc w:val="center"/>
              <w:rPr>
                <w:rFonts w:hint="eastAsia"/>
                <w:sz w:val="24"/>
              </w:rPr>
            </w:pPr>
            <w:r>
              <w:rPr>
                <w:rFonts w:hint="eastAsia"/>
                <w:sz w:val="24"/>
              </w:rPr>
              <w:t>糕点</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7E6356">
            <w:pPr>
              <w:rPr>
                <w:rFonts w:hint="eastAsia"/>
                <w:sz w:val="24"/>
              </w:rPr>
            </w:pPr>
            <w:r>
              <w:rPr>
                <w:rFonts w:hint="eastAsia"/>
                <w:sz w:val="24"/>
              </w:rPr>
              <w:t>散装糕点</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BB5A698">
            <w:pPr>
              <w:rPr>
                <w:rFonts w:hint="eastAsia"/>
                <w:sz w:val="24"/>
              </w:rPr>
            </w:pPr>
            <w:r>
              <w:rPr>
                <w:rFonts w:hint="eastAsia"/>
                <w:sz w:val="24"/>
              </w:rPr>
              <w:t>酸价、过氧化值</w:t>
            </w:r>
          </w:p>
        </w:tc>
      </w:tr>
      <w:tr w14:paraId="38320D4A">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9AFE0B">
            <w:pPr>
              <w:jc w:val="center"/>
              <w:rPr>
                <w:rFonts w:hint="eastAsia"/>
                <w:sz w:val="24"/>
              </w:rPr>
            </w:pPr>
            <w:r>
              <w:rPr>
                <w:rFonts w:hint="eastAsia"/>
                <w:sz w:val="24"/>
              </w:rPr>
              <w:t>调味品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10C383">
            <w:pPr>
              <w:rPr>
                <w:rFonts w:hint="eastAsia"/>
                <w:sz w:val="24"/>
              </w:rPr>
            </w:pPr>
            <w:r>
              <w:rPr>
                <w:rFonts w:hint="eastAsia"/>
                <w:sz w:val="24"/>
              </w:rPr>
              <w:t>火锅、麻辣烫调味料（底料、蘸料）</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29586C">
            <w:pPr>
              <w:rPr>
                <w:rFonts w:hint="eastAsia"/>
                <w:sz w:val="24"/>
              </w:rPr>
            </w:pPr>
            <w:r>
              <w:rPr>
                <w:rFonts w:hint="eastAsia"/>
                <w:sz w:val="24"/>
              </w:rPr>
              <w:t>罂粟类物质</w:t>
            </w:r>
          </w:p>
        </w:tc>
      </w:tr>
      <w:tr w14:paraId="4BDEF55B">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34927E">
            <w:pPr>
              <w:jc w:val="center"/>
              <w:rPr>
                <w:rFonts w:hint="eastAsia"/>
                <w:sz w:val="24"/>
              </w:rPr>
            </w:pPr>
            <w:r>
              <w:rPr>
                <w:rFonts w:hint="eastAsia"/>
                <w:sz w:val="24"/>
              </w:rPr>
              <w:t>膨化食品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2E4D7F8">
            <w:pPr>
              <w:rPr>
                <w:rFonts w:hint="eastAsia"/>
                <w:sz w:val="24"/>
              </w:rPr>
            </w:pPr>
            <w:r>
              <w:rPr>
                <w:rFonts w:hint="eastAsia"/>
                <w:sz w:val="24"/>
              </w:rPr>
              <w:t>膨化食品</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3E2A05">
            <w:pPr>
              <w:rPr>
                <w:rFonts w:hint="eastAsia"/>
                <w:sz w:val="24"/>
              </w:rPr>
            </w:pPr>
            <w:r>
              <w:rPr>
                <w:rFonts w:hint="eastAsia"/>
                <w:sz w:val="24"/>
              </w:rPr>
              <w:t>铝的残留量</w:t>
            </w:r>
          </w:p>
        </w:tc>
      </w:tr>
      <w:tr w14:paraId="2626CA6C">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778158">
            <w:pPr>
              <w:jc w:val="center"/>
              <w:rPr>
                <w:rFonts w:hint="eastAsia"/>
                <w:sz w:val="24"/>
              </w:rPr>
            </w:pPr>
            <w:r>
              <w:rPr>
                <w:rFonts w:hint="eastAsia"/>
                <w:sz w:val="24"/>
              </w:rPr>
              <w:t>豆制品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A9EC47">
            <w:pPr>
              <w:rPr>
                <w:rFonts w:hint="eastAsia"/>
                <w:sz w:val="24"/>
              </w:rPr>
            </w:pPr>
            <w:r>
              <w:rPr>
                <w:rFonts w:hint="eastAsia"/>
                <w:sz w:val="24"/>
              </w:rPr>
              <w:t>腐竹、豆干、豆腐</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DA3B6E">
            <w:pPr>
              <w:rPr>
                <w:rFonts w:hint="eastAsia"/>
                <w:sz w:val="24"/>
              </w:rPr>
            </w:pPr>
            <w:r>
              <w:rPr>
                <w:rFonts w:hint="eastAsia"/>
                <w:sz w:val="24"/>
              </w:rPr>
              <w:t>铝的残留量、二氧化硫、吊白块</w:t>
            </w:r>
          </w:p>
        </w:tc>
      </w:tr>
      <w:tr w14:paraId="08688DBD">
        <w:tblPrEx>
          <w:tblCellMar>
            <w:top w:w="0" w:type="dxa"/>
            <w:left w:w="10" w:type="dxa"/>
            <w:bottom w:w="0" w:type="dxa"/>
            <w:right w:w="10" w:type="dxa"/>
          </w:tblCellMar>
        </w:tblPrEx>
        <w:trPr>
          <w:jc w:val="center"/>
        </w:trPr>
        <w:tc>
          <w:tcPr>
            <w:tcW w:w="72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9305472">
            <w:pPr>
              <w:jc w:val="center"/>
              <w:rPr>
                <w:rFonts w:hint="eastAsia"/>
                <w:sz w:val="24"/>
              </w:rPr>
            </w:pPr>
            <w:r>
              <w:rPr>
                <w:rFonts w:hint="eastAsia"/>
                <w:sz w:val="24"/>
              </w:rPr>
              <w:t>水果制品</w:t>
            </w:r>
          </w:p>
        </w:tc>
        <w:tc>
          <w:tcPr>
            <w:tcW w:w="2211"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2470A2">
            <w:pPr>
              <w:rPr>
                <w:rFonts w:hint="eastAsia"/>
                <w:sz w:val="24"/>
              </w:rPr>
            </w:pPr>
            <w:r>
              <w:rPr>
                <w:rFonts w:hint="eastAsia"/>
                <w:sz w:val="24"/>
              </w:rPr>
              <w:t>蜜饯、果脯</w:t>
            </w:r>
          </w:p>
        </w:tc>
        <w:tc>
          <w:tcPr>
            <w:tcW w:w="2059" w:type="pc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01BAD0">
            <w:pPr>
              <w:rPr>
                <w:rFonts w:hint="eastAsia"/>
                <w:sz w:val="24"/>
              </w:rPr>
            </w:pPr>
            <w:r>
              <w:rPr>
                <w:rFonts w:hint="eastAsia"/>
                <w:sz w:val="24"/>
              </w:rPr>
              <w:t>苯甲酸、山梨酸、糖精钠、甜蜜素</w:t>
            </w:r>
          </w:p>
        </w:tc>
      </w:tr>
    </w:tbl>
    <w:p w14:paraId="2E124CC6">
      <w:pPr>
        <w:spacing w:line="480" w:lineRule="exact"/>
        <w:rPr>
          <w:rFonts w:hint="eastAsia" w:ascii="宋体" w:hAnsi="宋体" w:eastAsia="宋体"/>
          <w:b/>
          <w:bCs/>
          <w:sz w:val="24"/>
          <w:lang w:eastAsia="zh-CN"/>
        </w:rPr>
      </w:pPr>
      <w:r>
        <w:rPr>
          <w:rFonts w:hint="eastAsia" w:ascii="宋体" w:hAnsi="宋体"/>
          <w:b/>
          <w:bCs/>
          <w:sz w:val="24"/>
        </w:rPr>
        <w:t>注：</w:t>
      </w:r>
      <w:r>
        <w:rPr>
          <w:rFonts w:hint="eastAsia" w:ascii="宋体" w:hAnsi="宋体"/>
          <w:b/>
          <w:bCs/>
          <w:sz w:val="24"/>
          <w:lang w:val="en-US" w:eastAsia="zh-CN"/>
        </w:rPr>
        <w:t>（1）</w:t>
      </w:r>
      <w:r>
        <w:rPr>
          <w:rFonts w:hint="eastAsia" w:ascii="宋体" w:hAnsi="宋体"/>
          <w:b/>
          <w:bCs/>
          <w:sz w:val="24"/>
        </w:rPr>
        <w:t>农贸、农批市场每天7：30前开始采样检测，11：00前全部检测结束并上传快检结果数据。水产品临时交易点每天夜12点前必安排人员抽样并检测，即时完成检测任务，凌晨3点前需全部完成快速检测（含快速定量检测）工作并上传快检结果数据</w:t>
      </w:r>
      <w:r>
        <w:rPr>
          <w:rFonts w:hint="eastAsia" w:ascii="宋体" w:hAnsi="宋体"/>
          <w:b/>
          <w:bCs/>
          <w:sz w:val="24"/>
          <w:lang w:eastAsia="zh-CN"/>
        </w:rPr>
        <w:t>。</w:t>
      </w:r>
    </w:p>
    <w:p w14:paraId="7994FAB2">
      <w:pPr>
        <w:spacing w:line="480" w:lineRule="exac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b/>
          <w:bCs/>
          <w:color w:val="auto"/>
          <w:kern w:val="0"/>
          <w:sz w:val="24"/>
          <w:highlight w:val="none"/>
          <w:lang w:val="en-US" w:eastAsia="zh-CN"/>
        </w:rPr>
        <w:t xml:space="preserve"> </w:t>
      </w:r>
      <w:r>
        <w:rPr>
          <w:rFonts w:hint="eastAsia" w:ascii="宋体" w:hAnsi="宋体" w:cs="宋体"/>
          <w:b/>
          <w:bCs/>
          <w:color w:val="auto"/>
          <w:kern w:val="0"/>
          <w:sz w:val="24"/>
          <w:highlight w:val="none"/>
          <w:lang w:val="en-US" w:eastAsia="zh-CN"/>
        </w:rPr>
        <w:t>（2）</w:t>
      </w:r>
      <w:r>
        <w:rPr>
          <w:rFonts w:hint="eastAsia" w:ascii="宋体" w:hAnsi="宋体" w:eastAsia="宋体" w:cs="宋体"/>
          <w:b/>
          <w:bCs/>
          <w:color w:val="auto"/>
          <w:kern w:val="0"/>
          <w:sz w:val="24"/>
          <w:highlight w:val="none"/>
          <w:lang w:val="en-US" w:eastAsia="zh-CN"/>
        </w:rPr>
        <w:t>七鱼三菜两蛋、畜禽肉须使用胶体金法检测。</w:t>
      </w:r>
    </w:p>
    <w:p w14:paraId="0F181BDA">
      <w:pPr>
        <w:spacing w:line="460" w:lineRule="exact"/>
        <w:ind w:firstLine="480"/>
        <w:rPr>
          <w:rFonts w:ascii="宋体" w:hAnsi="宋体"/>
          <w:b/>
          <w:bCs/>
          <w:sz w:val="24"/>
        </w:rPr>
      </w:pPr>
      <w:r>
        <w:rPr>
          <w:rFonts w:hint="eastAsia" w:ascii="宋体" w:hAnsi="宋体"/>
          <w:b/>
          <w:bCs/>
          <w:sz w:val="24"/>
        </w:rPr>
        <w:t>3.检测人员</w:t>
      </w:r>
    </w:p>
    <w:p w14:paraId="2AF13E75">
      <w:pPr>
        <w:spacing w:line="460" w:lineRule="exact"/>
        <w:ind w:firstLine="480"/>
        <w:rPr>
          <w:rFonts w:ascii="宋体" w:hAnsi="宋体"/>
          <w:sz w:val="24"/>
        </w:rPr>
      </w:pPr>
      <w:r>
        <w:rPr>
          <w:rFonts w:hint="eastAsia" w:ascii="宋体" w:hAnsi="宋体"/>
          <w:sz w:val="24"/>
        </w:rPr>
        <w:t>中标（成交）供应商负责的运营期内，需为农贸市场提供快检检测人员，</w:t>
      </w:r>
      <w:r>
        <w:rPr>
          <w:rFonts w:hint="eastAsia" w:ascii="宋体" w:hAnsi="宋体"/>
          <w:sz w:val="24"/>
          <w:lang w:val="en-US" w:eastAsia="zh-CN"/>
        </w:rPr>
        <w:t>中标单位</w:t>
      </w:r>
      <w:r>
        <w:rPr>
          <w:rFonts w:hint="eastAsia" w:ascii="宋体" w:hAnsi="宋体"/>
          <w:sz w:val="24"/>
        </w:rPr>
        <w:t>检测人员需持人员健康证及培训合格证上岗。中标（成交）供应商除应做好检测员的安全生产教育外，还应为检测员提供必要的劳动保护条件，为检测员办理作业时的人身安全保险和意外伤害险，一切安全责任事故均由中标（成交）供应商负责【保险种类由中标（成交）供应商自行选择】</w:t>
      </w:r>
    </w:p>
    <w:p w14:paraId="03F5D431">
      <w:pPr>
        <w:spacing w:line="460" w:lineRule="exact"/>
        <w:ind w:firstLine="480"/>
        <w:rPr>
          <w:rFonts w:ascii="宋体" w:hAnsi="宋体"/>
          <w:b/>
          <w:bCs/>
          <w:sz w:val="24"/>
        </w:rPr>
      </w:pPr>
      <w:r>
        <w:rPr>
          <w:rFonts w:hint="eastAsia" w:ascii="宋体" w:hAnsi="宋体"/>
          <w:b/>
          <w:bCs/>
          <w:sz w:val="24"/>
        </w:rPr>
        <w:t>4.检测数据</w:t>
      </w:r>
    </w:p>
    <w:p w14:paraId="08DA0C6F">
      <w:pPr>
        <w:spacing w:line="460" w:lineRule="exact"/>
        <w:ind w:firstLine="480"/>
        <w:rPr>
          <w:rFonts w:ascii="宋体" w:hAnsi="宋体"/>
          <w:sz w:val="24"/>
        </w:rPr>
      </w:pPr>
      <w:r>
        <w:rPr>
          <w:rFonts w:hint="eastAsia" w:ascii="宋体" w:hAnsi="宋体"/>
          <w:sz w:val="24"/>
        </w:rPr>
        <w:t>中标（成交）供应商需把检测信息与不合格食品后处置信息（包括后处置记录、销毁照片及视频、追溯信息、抽检结果、案件查处等）自动上传至</w:t>
      </w:r>
      <w:r>
        <w:rPr>
          <w:rFonts w:hint="eastAsia" w:ascii="宋体" w:hAnsi="宋体"/>
          <w:b/>
          <w:bCs/>
          <w:sz w:val="24"/>
        </w:rPr>
        <w:t>亭湖区农贸市场快检系统平台及盐城市市场监督管理局</w:t>
      </w:r>
      <w:r>
        <w:rPr>
          <w:rFonts w:hint="eastAsia" w:ascii="宋体" w:hAnsi="宋体"/>
          <w:sz w:val="24"/>
        </w:rPr>
        <w:t>搭建的快检系统平台，所有检测数据信息归采购方所有，不得外传并需为采购人保存至少一年。</w:t>
      </w:r>
    </w:p>
    <w:p w14:paraId="301BAD61">
      <w:pPr>
        <w:spacing w:line="460" w:lineRule="exact"/>
        <w:ind w:firstLine="480"/>
        <w:rPr>
          <w:rFonts w:ascii="宋体" w:hAnsi="宋体"/>
          <w:b/>
          <w:bCs/>
          <w:sz w:val="24"/>
        </w:rPr>
      </w:pPr>
      <w:r>
        <w:rPr>
          <w:rFonts w:hint="eastAsia" w:ascii="宋体" w:hAnsi="宋体"/>
          <w:b/>
          <w:bCs/>
          <w:sz w:val="24"/>
        </w:rPr>
        <w:t>5.不合格处置</w:t>
      </w:r>
    </w:p>
    <w:p w14:paraId="30D73EC7">
      <w:pPr>
        <w:spacing w:line="460" w:lineRule="exact"/>
        <w:ind w:firstLine="480"/>
        <w:rPr>
          <w:rFonts w:ascii="宋体" w:hAnsi="宋体"/>
          <w:sz w:val="24"/>
        </w:rPr>
      </w:pPr>
      <w:r>
        <w:rPr>
          <w:rFonts w:hint="eastAsia" w:ascii="宋体" w:hAnsi="宋体"/>
          <w:sz w:val="24"/>
        </w:rPr>
        <w:t>对快检初检结果表明不符合食品安全标准的食品，中标（成交）供应商需立即开展快检复检。检测结果判定为不合格的，应立即通知市场经营户。市场经营户无异议的，中标（成交）供应商需协助市场主办方要求经营者立即停止销售，当场销毁或进行无害化处理，处置过程拍照留档；经营者对检测结果有异议的，可自收到检测结果起 4 小时内申请复检。复检应由有资质的第三方检测机构执行，复检期间，被复检人暂停销售，复检结论仍不合格的，复检费用由复检申请人自行承担。复检不得采用快速检测的方法。</w:t>
      </w:r>
    </w:p>
    <w:p w14:paraId="4C901848">
      <w:pPr>
        <w:spacing w:line="460" w:lineRule="exact"/>
        <w:ind w:firstLine="480"/>
        <w:rPr>
          <w:rFonts w:ascii="宋体" w:hAnsi="宋体"/>
          <w:b/>
          <w:bCs/>
          <w:sz w:val="24"/>
        </w:rPr>
      </w:pPr>
      <w:r>
        <w:rPr>
          <w:rFonts w:hint="eastAsia" w:ascii="宋体" w:hAnsi="宋体"/>
          <w:b/>
          <w:bCs/>
          <w:sz w:val="24"/>
        </w:rPr>
        <w:t>6.样品留存</w:t>
      </w:r>
    </w:p>
    <w:p w14:paraId="4F0060A4">
      <w:pPr>
        <w:spacing w:line="460" w:lineRule="exact"/>
        <w:ind w:firstLine="480"/>
        <w:rPr>
          <w:rFonts w:ascii="宋体" w:hAnsi="宋体"/>
          <w:sz w:val="24"/>
        </w:rPr>
      </w:pPr>
      <w:r>
        <w:rPr>
          <w:rFonts w:hint="eastAsia" w:ascii="宋体" w:hAnsi="宋体"/>
          <w:sz w:val="24"/>
        </w:rPr>
        <w:t xml:space="preserve">中标（成交）供应商应依据样本类别及性质，在不破坏样本原本状态及不被污染的原则下，按适当的保存条件妥善保存。检测结果为阴性的，留样时长不少于 24 小时；检测结果为阳性的，样品保存至后处置结束。 </w:t>
      </w:r>
    </w:p>
    <w:p w14:paraId="5C884F4A">
      <w:pPr>
        <w:spacing w:line="460" w:lineRule="exact"/>
        <w:ind w:firstLine="480"/>
        <w:rPr>
          <w:rFonts w:ascii="宋体" w:hAnsi="宋体"/>
          <w:b/>
          <w:bCs/>
          <w:sz w:val="24"/>
        </w:rPr>
      </w:pPr>
      <w:r>
        <w:rPr>
          <w:rFonts w:hint="eastAsia" w:ascii="宋体" w:hAnsi="宋体"/>
          <w:b/>
          <w:bCs/>
          <w:sz w:val="24"/>
        </w:rPr>
        <w:t>7.检测结果公示</w:t>
      </w:r>
    </w:p>
    <w:p w14:paraId="7456B04F">
      <w:pPr>
        <w:spacing w:line="460" w:lineRule="exact"/>
        <w:ind w:firstLine="480"/>
        <w:rPr>
          <w:rFonts w:ascii="宋体" w:hAnsi="宋体"/>
          <w:sz w:val="24"/>
        </w:rPr>
      </w:pPr>
      <w:r>
        <w:rPr>
          <w:rFonts w:hint="eastAsia" w:ascii="宋体" w:hAnsi="宋体"/>
          <w:sz w:val="24"/>
        </w:rPr>
        <w:t>中标（成交）供应商需每天在农贸市场的快检信息公布专栏公示检测品种、项目、结果、时间等信息。</w:t>
      </w:r>
    </w:p>
    <w:p w14:paraId="3CB6AC27">
      <w:pPr>
        <w:spacing w:line="460" w:lineRule="exact"/>
        <w:ind w:firstLine="480"/>
        <w:rPr>
          <w:rFonts w:ascii="宋体" w:hAnsi="宋体"/>
          <w:b/>
          <w:bCs/>
          <w:sz w:val="24"/>
        </w:rPr>
      </w:pPr>
      <w:r>
        <w:rPr>
          <w:rFonts w:hint="eastAsia" w:ascii="宋体" w:hAnsi="宋体"/>
          <w:b/>
          <w:bCs/>
          <w:sz w:val="24"/>
        </w:rPr>
        <w:t>8.资料保管</w:t>
      </w:r>
    </w:p>
    <w:p w14:paraId="46F72BE9">
      <w:pPr>
        <w:spacing w:line="460" w:lineRule="exact"/>
        <w:ind w:firstLine="480"/>
        <w:rPr>
          <w:rFonts w:ascii="宋体" w:hAnsi="宋体"/>
          <w:sz w:val="24"/>
        </w:rPr>
      </w:pPr>
      <w:r>
        <w:rPr>
          <w:rFonts w:hint="eastAsia" w:ascii="宋体" w:hAnsi="宋体"/>
          <w:sz w:val="24"/>
        </w:rPr>
        <w:t>中标（成交）供应商对检测工作中形成的数据资料、各项制度、统计报表等相关文件，进行分类登记保管。建立样品采集、结果公示、后处置记录、统计报表、市场自查等工作台账，保存不少于一年。</w:t>
      </w:r>
    </w:p>
    <w:p w14:paraId="135C5806">
      <w:pPr>
        <w:spacing w:line="460" w:lineRule="exact"/>
        <w:ind w:firstLine="480"/>
        <w:rPr>
          <w:rFonts w:ascii="宋体" w:hAnsi="宋体"/>
          <w:b/>
          <w:bCs/>
          <w:sz w:val="24"/>
        </w:rPr>
      </w:pPr>
      <w:r>
        <w:rPr>
          <w:rFonts w:hint="eastAsia" w:ascii="宋体" w:hAnsi="宋体"/>
          <w:b/>
          <w:bCs/>
          <w:sz w:val="24"/>
        </w:rPr>
        <w:t>9.增值服务要求</w:t>
      </w:r>
    </w:p>
    <w:p w14:paraId="58A99181">
      <w:pPr>
        <w:spacing w:line="460" w:lineRule="exact"/>
        <w:ind w:firstLine="480"/>
        <w:rPr>
          <w:rFonts w:ascii="宋体" w:hAnsi="宋体"/>
          <w:sz w:val="24"/>
        </w:rPr>
      </w:pPr>
      <w:r>
        <w:rPr>
          <w:rFonts w:hint="eastAsia" w:ascii="宋体" w:hAnsi="宋体"/>
          <w:sz w:val="24"/>
        </w:rPr>
        <w:t>（一）“你送我检”相关要求。</w:t>
      </w:r>
      <w:r>
        <w:rPr>
          <w:rFonts w:hint="eastAsia" w:ascii="宋体" w:hAnsi="宋体"/>
          <w:sz w:val="24"/>
          <w:highlight w:val="none"/>
        </w:rPr>
        <w:t>中标单位</w:t>
      </w:r>
      <w:r>
        <w:rPr>
          <w:rFonts w:hint="eastAsia" w:ascii="宋体" w:hAnsi="宋体"/>
          <w:sz w:val="24"/>
          <w:highlight w:val="none"/>
          <w:lang w:val="en-US" w:eastAsia="zh-CN"/>
        </w:rPr>
        <w:t>每月须在农贸市场</w:t>
      </w:r>
      <w:r>
        <w:rPr>
          <w:rFonts w:hint="eastAsia" w:ascii="宋体" w:hAnsi="宋体"/>
          <w:sz w:val="24"/>
          <w:highlight w:val="none"/>
        </w:rPr>
        <w:t>开展</w:t>
      </w:r>
      <w:r>
        <w:rPr>
          <w:rFonts w:hint="eastAsia" w:ascii="宋体" w:hAnsi="宋体"/>
          <w:sz w:val="24"/>
          <w:highlight w:val="none"/>
          <w:lang w:val="en-US" w:eastAsia="zh-CN"/>
        </w:rPr>
        <w:t>一次</w:t>
      </w:r>
      <w:r>
        <w:rPr>
          <w:rFonts w:hint="eastAsia" w:ascii="宋体" w:hAnsi="宋体"/>
          <w:sz w:val="24"/>
          <w:highlight w:val="none"/>
        </w:rPr>
        <w:t>“你送我检”活动</w:t>
      </w:r>
      <w:r>
        <w:rPr>
          <w:rFonts w:hint="eastAsia" w:ascii="宋体" w:hAnsi="宋体"/>
          <w:sz w:val="24"/>
          <w:highlight w:val="none"/>
          <w:lang w:eastAsia="zh-CN"/>
        </w:rPr>
        <w:t>，</w:t>
      </w:r>
      <w:r>
        <w:rPr>
          <w:rFonts w:hint="eastAsia" w:ascii="宋体" w:hAnsi="宋体"/>
          <w:sz w:val="24"/>
          <w:highlight w:val="none"/>
          <w:lang w:val="en-US" w:eastAsia="zh-CN"/>
        </w:rPr>
        <w:t>实验室</w:t>
      </w:r>
      <w:r>
        <w:rPr>
          <w:rFonts w:hint="eastAsia" w:ascii="宋体" w:hAnsi="宋体"/>
          <w:sz w:val="24"/>
          <w:highlight w:val="none"/>
        </w:rPr>
        <w:t>应当现场</w:t>
      </w:r>
      <w:r>
        <w:rPr>
          <w:rFonts w:hint="eastAsia" w:ascii="宋体" w:hAnsi="宋体"/>
          <w:sz w:val="24"/>
        </w:rPr>
        <w:t>接收消费者送检的自购食品，并及时告知和解读检测结果；检测人员要科学回答消费者有关的食品安全咨询，宣传食品安全科普知识。</w:t>
      </w:r>
    </w:p>
    <w:p w14:paraId="7C3FEBF5">
      <w:pPr>
        <w:spacing w:line="460" w:lineRule="exact"/>
        <w:ind w:firstLine="480"/>
        <w:rPr>
          <w:rFonts w:ascii="宋体" w:hAnsi="宋体"/>
          <w:sz w:val="24"/>
        </w:rPr>
      </w:pPr>
      <w:r>
        <w:rPr>
          <w:rFonts w:hint="eastAsia" w:ascii="宋体" w:hAnsi="宋体"/>
          <w:sz w:val="24"/>
        </w:rPr>
        <w:t>（二）亭湖区农贸市场快检系统搭建的要求</w:t>
      </w:r>
    </w:p>
    <w:p w14:paraId="3B4C1E00">
      <w:pPr>
        <w:spacing w:line="460" w:lineRule="exact"/>
        <w:ind w:firstLine="480"/>
        <w:rPr>
          <w:rFonts w:ascii="宋体" w:hAnsi="宋体"/>
          <w:sz w:val="24"/>
        </w:rPr>
      </w:pPr>
      <w:r>
        <w:rPr>
          <w:rFonts w:hint="eastAsia" w:ascii="宋体" w:hAnsi="宋体"/>
          <w:sz w:val="24"/>
        </w:rPr>
        <w:t>亭湖区农贸市场快检系统应具备良好的软件架构设计，层次分明。该系统需至少包含以下9个子系统：档案信息管理子系统、平台管理子系统、索票索证子系统、检测监管子系统、快检室运营管理子系统、风险监测子系统、检测员考核子系统、大数据分析子系统、信息公示子系统。各子系统根据监管要求，提供相应Web端监管系统，监管小程序、溯源索证小程序、商户扫码公示H5等用以满足食品安全检测监管功能需求，并可与盐城市市场监管局快检系统平台衔接、融合，具体功能需求如下：</w:t>
      </w:r>
    </w:p>
    <w:p w14:paraId="7227B38C">
      <w:pPr>
        <w:spacing w:line="460" w:lineRule="exact"/>
        <w:ind w:firstLine="480"/>
        <w:rPr>
          <w:rFonts w:ascii="宋体" w:hAnsi="宋体"/>
          <w:sz w:val="24"/>
        </w:rPr>
      </w:pPr>
      <w:r>
        <w:rPr>
          <w:rFonts w:hint="eastAsia" w:ascii="宋体" w:hAnsi="宋体"/>
          <w:sz w:val="24"/>
        </w:rPr>
        <w:t>1.档案信息管理子系统：</w:t>
      </w:r>
    </w:p>
    <w:p w14:paraId="782001FC">
      <w:pPr>
        <w:spacing w:line="460" w:lineRule="exact"/>
        <w:ind w:firstLine="480"/>
        <w:rPr>
          <w:rFonts w:ascii="宋体" w:hAnsi="宋体"/>
          <w:sz w:val="24"/>
        </w:rPr>
      </w:pPr>
      <w:r>
        <w:rPr>
          <w:rFonts w:hint="eastAsia" w:ascii="宋体" w:hAnsi="宋体"/>
          <w:sz w:val="24"/>
        </w:rPr>
        <w:t>档案信息管理子系统包含各农贸市场及经营户档案信息的维护。包括如下功能：</w:t>
      </w:r>
    </w:p>
    <w:p w14:paraId="7EF911C3">
      <w:pPr>
        <w:spacing w:line="460" w:lineRule="exact"/>
        <w:ind w:firstLine="480"/>
        <w:rPr>
          <w:rFonts w:ascii="宋体" w:hAnsi="宋体"/>
          <w:sz w:val="24"/>
        </w:rPr>
      </w:pPr>
      <w:r>
        <w:rPr>
          <w:rFonts w:hint="eastAsia" w:ascii="宋体" w:hAnsi="宋体"/>
          <w:sz w:val="24"/>
        </w:rPr>
        <w:t>（1）农贸市场档案管理：农贸市场基本信息，包含主体类型、主体规模、主体地址、负责人姓名、负责人联系电话、食安负责人姓名、食安负责人联系电话等。农贸市场监管信息，包含监管责任人、监管责任人联系电话、主体简介。农贸市场相关照片：包含环境照片、经营许可证和营业执照照片。</w:t>
      </w:r>
    </w:p>
    <w:p w14:paraId="342B515D">
      <w:pPr>
        <w:spacing w:line="460" w:lineRule="exact"/>
        <w:ind w:firstLine="480"/>
        <w:rPr>
          <w:rFonts w:ascii="宋体" w:hAnsi="宋体"/>
          <w:sz w:val="24"/>
        </w:rPr>
      </w:pPr>
      <w:r>
        <w:rPr>
          <w:rFonts w:hint="eastAsia" w:ascii="宋体" w:hAnsi="宋体"/>
          <w:sz w:val="24"/>
        </w:rPr>
        <w:t>（2）经营户档案管理：包含经营户名称、摊位号、联系方式、摊位性质、商户头像、主营项目、入驻时间。</w:t>
      </w:r>
    </w:p>
    <w:p w14:paraId="7CDD296F">
      <w:pPr>
        <w:spacing w:line="460" w:lineRule="exact"/>
        <w:ind w:firstLine="480"/>
        <w:rPr>
          <w:rFonts w:ascii="宋体" w:hAnsi="宋体"/>
          <w:sz w:val="24"/>
        </w:rPr>
      </w:pPr>
      <w:r>
        <w:rPr>
          <w:rFonts w:hint="eastAsia" w:ascii="宋体" w:hAnsi="宋体"/>
          <w:sz w:val="24"/>
        </w:rPr>
        <w:t>2.平台管理子系统：</w:t>
      </w:r>
    </w:p>
    <w:p w14:paraId="4B8B808F">
      <w:pPr>
        <w:spacing w:line="460" w:lineRule="exact"/>
        <w:ind w:firstLine="480"/>
        <w:rPr>
          <w:rFonts w:ascii="宋体" w:hAnsi="宋体"/>
          <w:sz w:val="24"/>
        </w:rPr>
      </w:pPr>
      <w:r>
        <w:rPr>
          <w:rFonts w:hint="eastAsia" w:ascii="宋体" w:hAnsi="宋体"/>
          <w:sz w:val="24"/>
        </w:rPr>
        <w:t>平台管理子系统为市场监管部门提供配置和管理功能，实现整个系统的配置以及监管，具体包括：</w:t>
      </w:r>
    </w:p>
    <w:p w14:paraId="41CFC3E4">
      <w:pPr>
        <w:spacing w:line="460" w:lineRule="exact"/>
        <w:ind w:firstLine="480"/>
        <w:rPr>
          <w:rFonts w:ascii="宋体" w:hAnsi="宋体"/>
          <w:sz w:val="24"/>
        </w:rPr>
      </w:pPr>
      <w:r>
        <w:rPr>
          <w:rFonts w:hint="eastAsia" w:ascii="宋体" w:hAnsi="宋体"/>
          <w:sz w:val="24"/>
        </w:rPr>
        <w:t>（1）部门管理：维护系统部门信息、包含部门名称、部门负责人、联系电话。</w:t>
      </w:r>
    </w:p>
    <w:p w14:paraId="5A9AE8C7">
      <w:pPr>
        <w:spacing w:line="460" w:lineRule="exact"/>
        <w:ind w:firstLine="480"/>
        <w:rPr>
          <w:rFonts w:ascii="宋体" w:hAnsi="宋体"/>
          <w:sz w:val="24"/>
        </w:rPr>
      </w:pPr>
      <w:r>
        <w:rPr>
          <w:rFonts w:hint="eastAsia" w:ascii="宋体" w:hAnsi="宋体"/>
          <w:sz w:val="24"/>
        </w:rPr>
        <w:t>（2）用户管理：维护系统账号信息，包含角色、账号、密码、用户姓名、联系电话、所属单位。</w:t>
      </w:r>
    </w:p>
    <w:p w14:paraId="03E10A2A">
      <w:pPr>
        <w:spacing w:line="460" w:lineRule="exact"/>
        <w:ind w:firstLine="480"/>
        <w:rPr>
          <w:rFonts w:ascii="宋体" w:hAnsi="宋体"/>
          <w:sz w:val="24"/>
        </w:rPr>
      </w:pPr>
      <w:r>
        <w:rPr>
          <w:rFonts w:hint="eastAsia" w:ascii="宋体" w:hAnsi="宋体"/>
          <w:sz w:val="24"/>
        </w:rPr>
        <w:t>（3）权限管理：维护系统角色信息。</w:t>
      </w:r>
    </w:p>
    <w:p w14:paraId="6B4FA800">
      <w:pPr>
        <w:spacing w:line="460" w:lineRule="exact"/>
        <w:ind w:firstLine="480"/>
        <w:rPr>
          <w:rFonts w:ascii="宋体" w:hAnsi="宋体"/>
          <w:sz w:val="24"/>
        </w:rPr>
      </w:pPr>
      <w:r>
        <w:rPr>
          <w:rFonts w:hint="eastAsia" w:ascii="宋体" w:hAnsi="宋体"/>
          <w:sz w:val="24"/>
        </w:rPr>
        <w:t>3.溯源索证子系统：</w:t>
      </w:r>
    </w:p>
    <w:p w14:paraId="69ECF16C">
      <w:pPr>
        <w:spacing w:line="460" w:lineRule="exact"/>
        <w:ind w:firstLine="480"/>
        <w:rPr>
          <w:rFonts w:ascii="宋体" w:hAnsi="宋体"/>
          <w:sz w:val="24"/>
        </w:rPr>
      </w:pPr>
      <w:r>
        <w:rPr>
          <w:rFonts w:hint="eastAsia" w:ascii="宋体" w:hAnsi="宋体"/>
          <w:sz w:val="24"/>
        </w:rPr>
        <w:t>溯源索证通过便携式移动端及二维码技术实现供各经营户便捷使用的出证、索票系统，实现了索票索证电子化管理。</w:t>
      </w:r>
    </w:p>
    <w:p w14:paraId="41F6ABF4">
      <w:pPr>
        <w:spacing w:line="460" w:lineRule="exact"/>
        <w:ind w:firstLine="480"/>
        <w:rPr>
          <w:rFonts w:ascii="宋体" w:hAnsi="宋体"/>
          <w:sz w:val="24"/>
        </w:rPr>
      </w:pPr>
      <w:r>
        <w:rPr>
          <w:rFonts w:hint="eastAsia" w:ascii="宋体" w:hAnsi="宋体"/>
          <w:sz w:val="24"/>
        </w:rPr>
        <w:t>（1）商户小程序溯源索证：</w:t>
      </w:r>
    </w:p>
    <w:p w14:paraId="2F2F82D0">
      <w:pPr>
        <w:spacing w:line="460" w:lineRule="exact"/>
        <w:ind w:firstLine="480"/>
        <w:rPr>
          <w:rFonts w:ascii="宋体" w:hAnsi="宋体"/>
          <w:sz w:val="24"/>
        </w:rPr>
      </w:pPr>
      <w:r>
        <w:rPr>
          <w:rFonts w:hint="eastAsia" w:ascii="宋体" w:hAnsi="宋体"/>
          <w:sz w:val="24"/>
        </w:rPr>
        <w:t>货品录入：支持产品信息进场前预约录入，各经营户可对进货商品进行录入，包含产品名称、产品产地以及进货数量信息的采集，能够上传承诺达标合格证等合格凭证。</w:t>
      </w:r>
    </w:p>
    <w:p w14:paraId="4CBA30DD">
      <w:pPr>
        <w:spacing w:line="460" w:lineRule="exact"/>
        <w:ind w:firstLine="480"/>
        <w:rPr>
          <w:rFonts w:ascii="宋体" w:hAnsi="宋体"/>
          <w:sz w:val="24"/>
        </w:rPr>
      </w:pPr>
      <w:r>
        <w:rPr>
          <w:rFonts w:hint="eastAsia" w:ascii="宋体" w:hAnsi="宋体"/>
          <w:sz w:val="24"/>
        </w:rPr>
        <w:t>打印票据：支持连接蓝牙打印机进行销售信息的二维码票据的打印。二维码票据包含产品名称、产品产地、批发商名称、供货单位、营业执照、联系电话等。</w:t>
      </w:r>
    </w:p>
    <w:p w14:paraId="1DF17D2E">
      <w:pPr>
        <w:spacing w:line="460" w:lineRule="exact"/>
        <w:ind w:firstLine="480"/>
        <w:rPr>
          <w:rFonts w:ascii="宋体" w:hAnsi="宋体"/>
          <w:sz w:val="24"/>
        </w:rPr>
      </w:pPr>
      <w:r>
        <w:rPr>
          <w:rFonts w:hint="eastAsia" w:ascii="宋体" w:hAnsi="宋体"/>
          <w:sz w:val="24"/>
        </w:rPr>
        <w:t>扫码上传：支持自动识别销售二维码票据。获取票据包含的产品信息。</w:t>
      </w:r>
    </w:p>
    <w:p w14:paraId="545C20F5">
      <w:pPr>
        <w:spacing w:line="460" w:lineRule="exact"/>
        <w:ind w:firstLine="480"/>
        <w:rPr>
          <w:rFonts w:ascii="宋体" w:hAnsi="宋体"/>
          <w:sz w:val="24"/>
        </w:rPr>
      </w:pPr>
      <w:r>
        <w:rPr>
          <w:rFonts w:hint="eastAsia" w:ascii="宋体" w:hAnsi="宋体"/>
          <w:sz w:val="24"/>
        </w:rPr>
        <w:t>（2）监管小程序查看：</w:t>
      </w:r>
    </w:p>
    <w:p w14:paraId="6D692946">
      <w:pPr>
        <w:spacing w:line="460" w:lineRule="exact"/>
        <w:ind w:firstLine="480"/>
        <w:rPr>
          <w:rFonts w:ascii="宋体" w:hAnsi="宋体"/>
          <w:sz w:val="24"/>
        </w:rPr>
      </w:pPr>
      <w:r>
        <w:rPr>
          <w:rFonts w:hint="eastAsia" w:ascii="宋体" w:hAnsi="宋体"/>
          <w:sz w:val="24"/>
        </w:rPr>
        <w:t>食品溯源：对辖区内各农贸市场索票索证情况进行分析，并可以实时查看索票索证详细记录。</w:t>
      </w:r>
    </w:p>
    <w:p w14:paraId="76614D33">
      <w:pPr>
        <w:spacing w:line="460" w:lineRule="exact"/>
        <w:ind w:firstLine="480"/>
        <w:rPr>
          <w:rFonts w:ascii="宋体" w:hAnsi="宋体"/>
          <w:sz w:val="24"/>
        </w:rPr>
      </w:pPr>
      <w:r>
        <w:rPr>
          <w:rFonts w:hint="eastAsia" w:ascii="宋体" w:hAnsi="宋体"/>
          <w:sz w:val="24"/>
        </w:rPr>
        <w:t>（3）监管系统查看：</w:t>
      </w:r>
    </w:p>
    <w:p w14:paraId="0DDB9797">
      <w:pPr>
        <w:spacing w:line="460" w:lineRule="exact"/>
        <w:ind w:firstLine="480"/>
        <w:rPr>
          <w:rFonts w:ascii="宋体" w:hAnsi="宋体"/>
          <w:sz w:val="24"/>
        </w:rPr>
      </w:pPr>
      <w:r>
        <w:rPr>
          <w:rFonts w:hint="eastAsia" w:ascii="宋体" w:hAnsi="宋体"/>
          <w:sz w:val="24"/>
        </w:rPr>
        <w:t>出证数据统计分析：对辖区内各农贸市场经营户出证情况总体分析以及索票索证详细记录的查询。</w:t>
      </w:r>
    </w:p>
    <w:p w14:paraId="3C532B49">
      <w:pPr>
        <w:spacing w:line="460" w:lineRule="exact"/>
        <w:ind w:firstLine="480"/>
        <w:rPr>
          <w:rFonts w:ascii="宋体" w:hAnsi="宋体"/>
          <w:sz w:val="24"/>
        </w:rPr>
      </w:pPr>
      <w:r>
        <w:rPr>
          <w:rFonts w:hint="eastAsia" w:ascii="宋体" w:hAnsi="宋体"/>
          <w:sz w:val="24"/>
        </w:rPr>
        <w:t>索证数据统计分析：对辖区内各农贸市场索证情况总体分析以及索票索证详细记录的查询。</w:t>
      </w:r>
    </w:p>
    <w:p w14:paraId="5DB06888">
      <w:pPr>
        <w:spacing w:line="460" w:lineRule="exact"/>
        <w:ind w:firstLine="480"/>
        <w:rPr>
          <w:rFonts w:ascii="宋体" w:hAnsi="宋体"/>
          <w:sz w:val="24"/>
        </w:rPr>
      </w:pPr>
      <w:r>
        <w:rPr>
          <w:rFonts w:hint="eastAsia" w:ascii="宋体" w:hAnsi="宋体"/>
          <w:sz w:val="24"/>
        </w:rPr>
        <w:t>4.检测监管子系统：</w:t>
      </w:r>
    </w:p>
    <w:p w14:paraId="53A72184">
      <w:pPr>
        <w:spacing w:line="460" w:lineRule="exact"/>
        <w:ind w:firstLine="480"/>
        <w:rPr>
          <w:rFonts w:ascii="宋体" w:hAnsi="宋体"/>
          <w:sz w:val="24"/>
        </w:rPr>
      </w:pPr>
      <w:r>
        <w:rPr>
          <w:rFonts w:hint="eastAsia" w:ascii="宋体" w:hAnsi="宋体"/>
          <w:sz w:val="24"/>
        </w:rPr>
        <w:t>检测监管子系统包含监管系统中检测相关的功能。监管平台对检测数据进行实时统计、分析。本子系统包含监管系统功能、监管小程序功能、采样互联功能、检测仪器互联功能：</w:t>
      </w:r>
    </w:p>
    <w:p w14:paraId="4DBDA54F">
      <w:pPr>
        <w:spacing w:line="460" w:lineRule="exact"/>
        <w:ind w:firstLine="480"/>
        <w:rPr>
          <w:rFonts w:ascii="宋体" w:hAnsi="宋体"/>
          <w:sz w:val="24"/>
        </w:rPr>
      </w:pPr>
      <w:r>
        <w:rPr>
          <w:rFonts w:hint="eastAsia" w:ascii="宋体" w:hAnsi="宋体"/>
          <w:sz w:val="24"/>
        </w:rPr>
        <w:t>（1）监管系统包含以下功能：</w:t>
      </w:r>
    </w:p>
    <w:p w14:paraId="7F7BB82A">
      <w:pPr>
        <w:spacing w:line="460" w:lineRule="exact"/>
        <w:ind w:firstLine="480"/>
        <w:rPr>
          <w:rFonts w:ascii="宋体" w:hAnsi="宋体"/>
          <w:sz w:val="24"/>
        </w:rPr>
      </w:pPr>
      <w:r>
        <w:rPr>
          <w:rFonts w:hint="eastAsia" w:ascii="宋体" w:hAnsi="宋体"/>
          <w:sz w:val="24"/>
        </w:rPr>
        <w:t>项目运维：包含对各农贸市场检测总量任务的下达。</w:t>
      </w:r>
    </w:p>
    <w:p w14:paraId="485515C0">
      <w:pPr>
        <w:spacing w:line="460" w:lineRule="exact"/>
        <w:ind w:firstLine="480"/>
        <w:rPr>
          <w:rFonts w:ascii="宋体" w:hAnsi="宋体"/>
          <w:sz w:val="24"/>
        </w:rPr>
      </w:pPr>
      <w:r>
        <w:rPr>
          <w:rFonts w:hint="eastAsia" w:ascii="宋体" w:hAnsi="宋体"/>
          <w:sz w:val="24"/>
        </w:rPr>
        <w:t>样品信息查询：包含按照起止日期、局、所、样品类型、样品名称、检测结果等筛选条件进行样品信息查询。</w:t>
      </w:r>
    </w:p>
    <w:p w14:paraId="03302F36">
      <w:pPr>
        <w:spacing w:line="460" w:lineRule="exact"/>
        <w:ind w:firstLine="480"/>
        <w:rPr>
          <w:rFonts w:ascii="宋体" w:hAnsi="宋体"/>
          <w:sz w:val="24"/>
        </w:rPr>
      </w:pPr>
      <w:r>
        <w:rPr>
          <w:rFonts w:hint="eastAsia" w:ascii="宋体" w:hAnsi="宋体"/>
          <w:sz w:val="24"/>
        </w:rPr>
        <w:t>检测信息查询：包含按照起止日期、局、所、样品类型、样品名称、检测类别、检测项目、检测结果等筛选条件进行检测信息查询。</w:t>
      </w:r>
    </w:p>
    <w:p w14:paraId="6A8FD087">
      <w:pPr>
        <w:spacing w:line="460" w:lineRule="exact"/>
        <w:ind w:firstLine="480"/>
        <w:rPr>
          <w:rFonts w:ascii="宋体" w:hAnsi="宋体"/>
          <w:sz w:val="24"/>
        </w:rPr>
      </w:pPr>
      <w:r>
        <w:rPr>
          <w:rFonts w:hint="eastAsia" w:ascii="宋体" w:hAnsi="宋体"/>
          <w:sz w:val="24"/>
        </w:rPr>
        <w:t>检测数据统计：对检测总量、快检合格率、任务完成率、检测类别、样品类别的数据统计。</w:t>
      </w:r>
    </w:p>
    <w:p w14:paraId="2A3FC7CD">
      <w:pPr>
        <w:spacing w:line="460" w:lineRule="exact"/>
        <w:ind w:firstLine="480"/>
        <w:rPr>
          <w:rFonts w:ascii="宋体" w:hAnsi="宋体"/>
          <w:sz w:val="24"/>
        </w:rPr>
      </w:pPr>
      <w:r>
        <w:rPr>
          <w:rFonts w:hint="eastAsia" w:ascii="宋体" w:hAnsi="宋体"/>
          <w:sz w:val="24"/>
        </w:rPr>
        <w:t>大数据分析：包含任务执行分析。</w:t>
      </w:r>
    </w:p>
    <w:p w14:paraId="6BE0DE82">
      <w:pPr>
        <w:spacing w:line="460" w:lineRule="exact"/>
        <w:ind w:firstLine="480"/>
        <w:rPr>
          <w:rFonts w:ascii="宋体" w:hAnsi="宋体"/>
          <w:sz w:val="24"/>
        </w:rPr>
      </w:pPr>
      <w:r>
        <w:rPr>
          <w:rFonts w:hint="eastAsia" w:ascii="宋体" w:hAnsi="宋体"/>
          <w:sz w:val="24"/>
        </w:rPr>
        <w:t>（2）监管小程序包含以下功能：</w:t>
      </w:r>
    </w:p>
    <w:p w14:paraId="2CC515AB">
      <w:pPr>
        <w:spacing w:line="460" w:lineRule="exact"/>
        <w:ind w:firstLine="480"/>
        <w:rPr>
          <w:rFonts w:ascii="宋体" w:hAnsi="宋体"/>
          <w:sz w:val="24"/>
        </w:rPr>
      </w:pPr>
      <w:r>
        <w:rPr>
          <w:rFonts w:hint="eastAsia" w:ascii="宋体" w:hAnsi="宋体"/>
          <w:sz w:val="24"/>
        </w:rPr>
        <w:t>食品快检：查看辖区内各农贸市场检测执行情况。</w:t>
      </w:r>
    </w:p>
    <w:p w14:paraId="1FDCFF17">
      <w:pPr>
        <w:spacing w:line="460" w:lineRule="exact"/>
        <w:ind w:firstLine="480"/>
        <w:rPr>
          <w:rFonts w:ascii="宋体" w:hAnsi="宋体"/>
          <w:sz w:val="24"/>
        </w:rPr>
      </w:pPr>
      <w:r>
        <w:rPr>
          <w:rFonts w:hint="eastAsia" w:ascii="宋体" w:hAnsi="宋体"/>
          <w:sz w:val="24"/>
        </w:rPr>
        <w:t>快检分析：查看辖区内各农贸市场检测问题发生情况。</w:t>
      </w:r>
    </w:p>
    <w:p w14:paraId="7C32D125">
      <w:pPr>
        <w:spacing w:line="460" w:lineRule="exact"/>
        <w:ind w:firstLine="480"/>
        <w:rPr>
          <w:rFonts w:ascii="宋体" w:hAnsi="宋体"/>
          <w:sz w:val="24"/>
        </w:rPr>
      </w:pPr>
      <w:r>
        <w:rPr>
          <w:rFonts w:hint="eastAsia" w:ascii="宋体" w:hAnsi="宋体"/>
          <w:sz w:val="24"/>
        </w:rPr>
        <w:t>（3）采样互联包含以下功能：</w:t>
      </w:r>
    </w:p>
    <w:p w14:paraId="448E76B2">
      <w:pPr>
        <w:spacing w:line="460" w:lineRule="exact"/>
        <w:ind w:firstLine="480"/>
        <w:rPr>
          <w:rFonts w:ascii="宋体" w:hAnsi="宋体"/>
          <w:sz w:val="24"/>
        </w:rPr>
      </w:pPr>
      <w:r>
        <w:rPr>
          <w:rFonts w:hint="eastAsia" w:ascii="宋体" w:hAnsi="宋体"/>
          <w:sz w:val="24"/>
        </w:rPr>
        <w:t>样品采集：包括样品种类、经营户名称、样品名称、检测项目、采样照片、采样视频。</w:t>
      </w:r>
    </w:p>
    <w:p w14:paraId="286C670D">
      <w:pPr>
        <w:spacing w:line="460" w:lineRule="exact"/>
        <w:ind w:firstLine="480"/>
        <w:rPr>
          <w:rFonts w:ascii="宋体" w:hAnsi="宋体"/>
          <w:sz w:val="24"/>
        </w:rPr>
      </w:pPr>
      <w:r>
        <w:rPr>
          <w:rFonts w:hint="eastAsia" w:ascii="宋体" w:hAnsi="宋体"/>
          <w:sz w:val="24"/>
        </w:rPr>
        <w:t>（4）检测仪器互联包含以下功能：</w:t>
      </w:r>
    </w:p>
    <w:p w14:paraId="61BA3623">
      <w:pPr>
        <w:spacing w:line="460" w:lineRule="exact"/>
        <w:ind w:firstLine="480"/>
        <w:rPr>
          <w:rFonts w:ascii="宋体" w:hAnsi="宋体"/>
          <w:sz w:val="24"/>
        </w:rPr>
      </w:pPr>
      <w:r>
        <w:rPr>
          <w:rFonts w:hint="eastAsia" w:ascii="宋体" w:hAnsi="宋体"/>
          <w:sz w:val="24"/>
        </w:rPr>
        <w:t>提供检测仪器数据对接端口，检测数据可以通过不同厂家的检测仪器实时上传、汇总、分析。</w:t>
      </w:r>
    </w:p>
    <w:p w14:paraId="3FBBC371">
      <w:pPr>
        <w:spacing w:line="460" w:lineRule="exact"/>
        <w:ind w:firstLine="480"/>
        <w:rPr>
          <w:rFonts w:ascii="宋体" w:hAnsi="宋体"/>
          <w:sz w:val="24"/>
        </w:rPr>
      </w:pPr>
      <w:r>
        <w:rPr>
          <w:rFonts w:hint="eastAsia" w:ascii="宋体" w:hAnsi="宋体"/>
          <w:sz w:val="24"/>
        </w:rPr>
        <w:t>5.快检室运营管理子系统</w:t>
      </w:r>
    </w:p>
    <w:p w14:paraId="2145A104">
      <w:pPr>
        <w:spacing w:line="460" w:lineRule="exact"/>
        <w:ind w:firstLine="480"/>
        <w:rPr>
          <w:rFonts w:ascii="宋体" w:hAnsi="宋体"/>
          <w:sz w:val="24"/>
        </w:rPr>
      </w:pPr>
      <w:r>
        <w:rPr>
          <w:rFonts w:hint="eastAsia" w:ascii="宋体" w:hAnsi="宋体"/>
          <w:sz w:val="24"/>
        </w:rPr>
        <w:t>快检室运营管理子系统包含检测员考勤统计、快检室运营指数指标计算。应包含如下部分：</w:t>
      </w:r>
    </w:p>
    <w:p w14:paraId="073EDD90">
      <w:pPr>
        <w:spacing w:line="460" w:lineRule="exact"/>
        <w:ind w:firstLine="480"/>
        <w:rPr>
          <w:rFonts w:ascii="宋体" w:hAnsi="宋体"/>
          <w:sz w:val="24"/>
        </w:rPr>
      </w:pPr>
      <w:r>
        <w:rPr>
          <w:rFonts w:hint="eastAsia" w:ascii="宋体" w:hAnsi="宋体"/>
          <w:sz w:val="24"/>
        </w:rPr>
        <w:t>（1）监管系统功能：</w:t>
      </w:r>
    </w:p>
    <w:p w14:paraId="11C69F41">
      <w:pPr>
        <w:spacing w:line="460" w:lineRule="exact"/>
        <w:ind w:firstLine="480"/>
        <w:rPr>
          <w:rFonts w:ascii="宋体" w:hAnsi="宋体"/>
          <w:sz w:val="24"/>
        </w:rPr>
      </w:pPr>
      <w:r>
        <w:rPr>
          <w:rFonts w:hint="eastAsia" w:ascii="宋体" w:hAnsi="宋体"/>
          <w:sz w:val="24"/>
        </w:rPr>
        <w:t>检测管理：按月统计辖区各检测员打卡签到情况、工作时长情况。</w:t>
      </w:r>
    </w:p>
    <w:p w14:paraId="0BD82E19">
      <w:pPr>
        <w:spacing w:line="460" w:lineRule="exact"/>
        <w:ind w:firstLine="480"/>
        <w:rPr>
          <w:rFonts w:ascii="宋体" w:hAnsi="宋体"/>
          <w:sz w:val="24"/>
        </w:rPr>
      </w:pPr>
      <w:r>
        <w:rPr>
          <w:rFonts w:hint="eastAsia" w:ascii="宋体" w:hAnsi="宋体"/>
          <w:sz w:val="24"/>
        </w:rPr>
        <w:t>快检室运营指数：根据各农贸市场快检室人员到岗率、检测工作时长、检测任务完成率、问题发现率、检测质量等指标计算快检室运营指数以供参考。</w:t>
      </w:r>
    </w:p>
    <w:p w14:paraId="7F6D325F">
      <w:pPr>
        <w:spacing w:line="460" w:lineRule="exact"/>
        <w:ind w:firstLine="480"/>
        <w:rPr>
          <w:rFonts w:ascii="宋体" w:hAnsi="宋体"/>
          <w:sz w:val="24"/>
        </w:rPr>
      </w:pPr>
      <w:r>
        <w:rPr>
          <w:rFonts w:hint="eastAsia" w:ascii="宋体" w:hAnsi="宋体"/>
          <w:sz w:val="24"/>
        </w:rPr>
        <w:t>（2）监管小程序功能：</w:t>
      </w:r>
    </w:p>
    <w:p w14:paraId="1B3256AF">
      <w:pPr>
        <w:spacing w:line="460" w:lineRule="exact"/>
        <w:ind w:firstLine="480"/>
        <w:rPr>
          <w:rFonts w:ascii="宋体" w:hAnsi="宋体"/>
          <w:sz w:val="24"/>
        </w:rPr>
      </w:pPr>
      <w:r>
        <w:rPr>
          <w:rFonts w:hint="eastAsia" w:ascii="宋体" w:hAnsi="宋体"/>
          <w:sz w:val="24"/>
        </w:rPr>
        <w:t>运行监测：通过移动端的方式查看辖区内各农贸市场快检室人员到岗情况。</w:t>
      </w:r>
    </w:p>
    <w:p w14:paraId="753427E6">
      <w:pPr>
        <w:spacing w:line="460" w:lineRule="exact"/>
        <w:ind w:firstLine="480"/>
        <w:rPr>
          <w:rFonts w:ascii="宋体" w:hAnsi="宋体"/>
          <w:sz w:val="24"/>
        </w:rPr>
      </w:pPr>
      <w:r>
        <w:rPr>
          <w:rFonts w:hint="eastAsia" w:ascii="宋体" w:hAnsi="宋体"/>
          <w:sz w:val="24"/>
        </w:rPr>
        <w:t>6.风险监测子系统：</w:t>
      </w:r>
    </w:p>
    <w:p w14:paraId="6CEBA8D3">
      <w:pPr>
        <w:spacing w:line="460" w:lineRule="exact"/>
        <w:ind w:firstLine="480"/>
        <w:rPr>
          <w:rFonts w:ascii="宋体" w:hAnsi="宋体"/>
          <w:sz w:val="24"/>
        </w:rPr>
      </w:pPr>
      <w:r>
        <w:rPr>
          <w:rFonts w:hint="eastAsia" w:ascii="宋体" w:hAnsi="宋体"/>
          <w:sz w:val="24"/>
        </w:rPr>
        <w:t>风险监测子系统包含通过监管平台实时查看风险情况，并提供风险处理手段。风险监测子系统包含如下部分：</w:t>
      </w:r>
    </w:p>
    <w:p w14:paraId="27B893AD">
      <w:pPr>
        <w:spacing w:line="460" w:lineRule="exact"/>
        <w:ind w:firstLine="480"/>
        <w:rPr>
          <w:rFonts w:ascii="宋体" w:hAnsi="宋体"/>
          <w:sz w:val="24"/>
        </w:rPr>
      </w:pPr>
      <w:r>
        <w:rPr>
          <w:rFonts w:hint="eastAsia" w:ascii="宋体" w:hAnsi="宋体"/>
          <w:sz w:val="24"/>
        </w:rPr>
        <w:t>实时风险：查看辖区内各农贸市场风险发生情况及风险详情。</w:t>
      </w:r>
    </w:p>
    <w:p w14:paraId="6F061269">
      <w:pPr>
        <w:spacing w:line="460" w:lineRule="exact"/>
        <w:ind w:firstLine="480"/>
        <w:rPr>
          <w:rFonts w:ascii="宋体" w:hAnsi="宋体"/>
          <w:sz w:val="24"/>
        </w:rPr>
      </w:pPr>
      <w:r>
        <w:rPr>
          <w:rFonts w:hint="eastAsia" w:ascii="宋体" w:hAnsi="宋体"/>
          <w:sz w:val="24"/>
        </w:rPr>
        <w:t>复核日志：查看历史已经处理过的风险。</w:t>
      </w:r>
    </w:p>
    <w:p w14:paraId="56FD39AF">
      <w:pPr>
        <w:spacing w:line="460" w:lineRule="exact"/>
        <w:ind w:firstLine="480"/>
        <w:rPr>
          <w:rFonts w:ascii="宋体" w:hAnsi="宋体"/>
          <w:sz w:val="24"/>
        </w:rPr>
      </w:pPr>
      <w:r>
        <w:rPr>
          <w:rFonts w:hint="eastAsia" w:ascii="宋体" w:hAnsi="宋体"/>
          <w:sz w:val="24"/>
        </w:rPr>
        <w:t xml:space="preserve">  7.检测员考核子系统：</w:t>
      </w:r>
    </w:p>
    <w:p w14:paraId="4B9ACC02">
      <w:pPr>
        <w:spacing w:line="460" w:lineRule="exact"/>
        <w:ind w:firstLine="480"/>
        <w:rPr>
          <w:rFonts w:ascii="宋体" w:hAnsi="宋体"/>
          <w:sz w:val="24"/>
        </w:rPr>
      </w:pPr>
      <w:r>
        <w:rPr>
          <w:rFonts w:hint="eastAsia" w:ascii="宋体" w:hAnsi="宋体"/>
          <w:sz w:val="24"/>
        </w:rPr>
        <w:t>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p>
    <w:p w14:paraId="0C9155FA">
      <w:pPr>
        <w:spacing w:line="460" w:lineRule="exact"/>
        <w:ind w:firstLine="480"/>
        <w:rPr>
          <w:rFonts w:ascii="宋体" w:hAnsi="宋体"/>
          <w:sz w:val="24"/>
        </w:rPr>
      </w:pPr>
      <w:r>
        <w:rPr>
          <w:rFonts w:hint="eastAsia" w:ascii="宋体" w:hAnsi="宋体"/>
          <w:sz w:val="24"/>
        </w:rPr>
        <w:t>食安课堂：发布食品安全政策法规、专业知识、监管要求、学习视频、在线学习时长、并提供模拟考试功能。</w:t>
      </w:r>
    </w:p>
    <w:p w14:paraId="3E9C04DA">
      <w:pPr>
        <w:spacing w:line="460" w:lineRule="exact"/>
        <w:ind w:firstLine="480"/>
        <w:rPr>
          <w:rFonts w:ascii="宋体" w:hAnsi="宋体"/>
          <w:sz w:val="24"/>
        </w:rPr>
      </w:pPr>
      <w:r>
        <w:rPr>
          <w:rFonts w:hint="eastAsia" w:ascii="宋体" w:hAnsi="宋体"/>
          <w:sz w:val="24"/>
        </w:rPr>
        <w:t>知识库管理：对食品安全政策法规、专业知识、监管要求、学习视频 、考试题库等信息进行维护。</w:t>
      </w:r>
    </w:p>
    <w:p w14:paraId="0272FF68">
      <w:pPr>
        <w:spacing w:line="460" w:lineRule="exact"/>
        <w:ind w:firstLine="480"/>
        <w:rPr>
          <w:rFonts w:ascii="宋体" w:hAnsi="宋体"/>
          <w:sz w:val="24"/>
        </w:rPr>
      </w:pPr>
      <w:r>
        <w:rPr>
          <w:rFonts w:hint="eastAsia" w:ascii="宋体" w:hAnsi="宋体"/>
          <w:sz w:val="24"/>
        </w:rPr>
        <w:t>在线考试：为检测员提供在线考试功能。</w:t>
      </w:r>
    </w:p>
    <w:p w14:paraId="10BCF4F4">
      <w:pPr>
        <w:spacing w:line="460" w:lineRule="exact"/>
        <w:ind w:firstLine="480"/>
        <w:rPr>
          <w:rFonts w:ascii="宋体" w:hAnsi="宋体"/>
          <w:sz w:val="24"/>
        </w:rPr>
      </w:pPr>
      <w:r>
        <w:rPr>
          <w:rFonts w:hint="eastAsia" w:ascii="宋体" w:hAnsi="宋体"/>
          <w:sz w:val="24"/>
        </w:rPr>
        <w:t>学习记录：对辖区内检测员学习、考试情况进行统计、分析。</w:t>
      </w:r>
    </w:p>
    <w:p w14:paraId="3C0DE2A6">
      <w:pPr>
        <w:spacing w:line="460" w:lineRule="exact"/>
        <w:ind w:firstLine="480"/>
        <w:rPr>
          <w:rFonts w:ascii="宋体" w:hAnsi="宋体"/>
          <w:sz w:val="24"/>
        </w:rPr>
      </w:pPr>
      <w:r>
        <w:rPr>
          <w:rFonts w:hint="eastAsia" w:ascii="宋体" w:hAnsi="宋体"/>
          <w:sz w:val="24"/>
        </w:rPr>
        <w:t>8.大数据分析子系统：</w:t>
      </w:r>
    </w:p>
    <w:p w14:paraId="7BBCD903">
      <w:pPr>
        <w:spacing w:line="460" w:lineRule="exact"/>
        <w:ind w:firstLine="480"/>
        <w:rPr>
          <w:rFonts w:ascii="宋体" w:hAnsi="宋体"/>
          <w:sz w:val="24"/>
        </w:rPr>
      </w:pPr>
      <w:r>
        <w:rPr>
          <w:rFonts w:hint="eastAsia" w:ascii="宋体" w:hAnsi="宋体"/>
          <w:sz w:val="24"/>
        </w:rPr>
        <w:t>主要运用大数据分析挖掘技术进行多维度数据分析，提供对食品安全工作的决策支持。本子系统应包含以下功能：</w:t>
      </w:r>
    </w:p>
    <w:p w14:paraId="16DE38B6">
      <w:pPr>
        <w:spacing w:line="460" w:lineRule="exact"/>
        <w:ind w:firstLine="480"/>
        <w:rPr>
          <w:rFonts w:ascii="宋体" w:hAnsi="宋体"/>
          <w:sz w:val="24"/>
        </w:rPr>
      </w:pPr>
      <w:r>
        <w:rPr>
          <w:rFonts w:hint="eastAsia" w:ascii="宋体" w:hAnsi="宋体"/>
          <w:sz w:val="24"/>
        </w:rPr>
        <w:t>（1）检测执行分析：</w:t>
      </w:r>
    </w:p>
    <w:p w14:paraId="663251E4">
      <w:pPr>
        <w:spacing w:line="460" w:lineRule="exact"/>
        <w:ind w:firstLine="480"/>
        <w:rPr>
          <w:rFonts w:ascii="宋体" w:hAnsi="宋体"/>
          <w:sz w:val="24"/>
        </w:rPr>
      </w:pPr>
      <w:r>
        <w:rPr>
          <w:rFonts w:hint="eastAsia" w:ascii="宋体" w:hAnsi="宋体"/>
          <w:sz w:val="24"/>
        </w:rPr>
        <w:t>①计划量、完成量、完成率概况；②农贸市场计划任务量和实际完成量对比分析；③样品类别检测量分析；④不同业态检测量占比分析；⑤检测类别检测量占比分析；⑥快检室检测任务完成率排行；⑦农贸市场平均检测量排行；⑧农贸市场监测覆盖率排行。</w:t>
      </w:r>
    </w:p>
    <w:p w14:paraId="337C8560">
      <w:pPr>
        <w:spacing w:line="460" w:lineRule="exact"/>
        <w:ind w:firstLine="480"/>
        <w:rPr>
          <w:rFonts w:ascii="宋体" w:hAnsi="宋体"/>
          <w:sz w:val="24"/>
        </w:rPr>
      </w:pPr>
      <w:r>
        <w:rPr>
          <w:rFonts w:hint="eastAsia" w:ascii="宋体" w:hAnsi="宋体"/>
          <w:sz w:val="24"/>
        </w:rPr>
        <w:t>（2）风险监测分析：</w:t>
      </w:r>
    </w:p>
    <w:p w14:paraId="4B157CC8">
      <w:pPr>
        <w:spacing w:line="460" w:lineRule="exact"/>
        <w:ind w:firstLine="480"/>
        <w:rPr>
          <w:rFonts w:ascii="宋体" w:hAnsi="宋体"/>
          <w:sz w:val="24"/>
        </w:rPr>
      </w:pPr>
      <w:r>
        <w:rPr>
          <w:rFonts w:hint="eastAsia" w:ascii="宋体" w:hAnsi="宋体"/>
          <w:sz w:val="24"/>
        </w:rPr>
        <w:t>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p>
    <w:p w14:paraId="1260D462">
      <w:pPr>
        <w:spacing w:line="460" w:lineRule="exact"/>
        <w:ind w:firstLine="480"/>
        <w:rPr>
          <w:rFonts w:ascii="宋体" w:hAnsi="宋体"/>
          <w:sz w:val="24"/>
        </w:rPr>
      </w:pPr>
      <w:r>
        <w:rPr>
          <w:rFonts w:hint="eastAsia" w:ascii="宋体" w:hAnsi="宋体"/>
          <w:sz w:val="24"/>
        </w:rPr>
        <w:t>（3）检测服务分析：</w:t>
      </w:r>
    </w:p>
    <w:p w14:paraId="27C07145">
      <w:pPr>
        <w:spacing w:line="460" w:lineRule="exact"/>
        <w:ind w:firstLine="480"/>
        <w:rPr>
          <w:rFonts w:ascii="宋体" w:hAnsi="宋体"/>
          <w:sz w:val="24"/>
        </w:rPr>
      </w:pPr>
      <w:r>
        <w:rPr>
          <w:rFonts w:hint="eastAsia" w:ascii="宋体" w:hAnsi="宋体"/>
          <w:sz w:val="24"/>
        </w:rPr>
        <w:t>①快检室人员出勤、工作时长、运营指数概况；②农贸市场快检室综合运营指数对比分析；③检测单完整度分析；④综合运营指数雷达图分析；⑤检测工作时段分析；⑥快检室检测单缺失率排行；⑦快检室人员出勤率排行；⑧快检室检测时长排行。</w:t>
      </w:r>
    </w:p>
    <w:p w14:paraId="1CC62A5A">
      <w:pPr>
        <w:spacing w:line="460" w:lineRule="exact"/>
        <w:ind w:firstLine="480"/>
        <w:rPr>
          <w:rFonts w:ascii="宋体" w:hAnsi="宋体"/>
          <w:sz w:val="24"/>
        </w:rPr>
      </w:pPr>
      <w:r>
        <w:rPr>
          <w:rFonts w:hint="eastAsia" w:ascii="宋体" w:hAnsi="宋体"/>
          <w:sz w:val="24"/>
        </w:rPr>
        <w:t>9.信息公示子系统：</w:t>
      </w:r>
    </w:p>
    <w:p w14:paraId="795380B4">
      <w:pPr>
        <w:spacing w:line="460" w:lineRule="exact"/>
        <w:ind w:firstLine="480"/>
        <w:rPr>
          <w:rFonts w:ascii="宋体" w:hAnsi="宋体"/>
          <w:sz w:val="24"/>
        </w:rPr>
      </w:pPr>
      <w:r>
        <w:rPr>
          <w:rFonts w:hint="eastAsia" w:ascii="宋体" w:hAnsi="宋体"/>
          <w:sz w:val="24"/>
        </w:rPr>
        <w:t>信息公示子系统满足食品安全信息、商品交易公示的需要，包含经营主体二维码，其中各部分具备的功能如下：</w:t>
      </w:r>
    </w:p>
    <w:p w14:paraId="137D7A92">
      <w:pPr>
        <w:spacing w:line="460" w:lineRule="exact"/>
        <w:ind w:firstLine="480"/>
        <w:rPr>
          <w:rFonts w:ascii="宋体" w:hAnsi="宋体"/>
          <w:sz w:val="24"/>
        </w:rPr>
      </w:pPr>
      <w:r>
        <w:rPr>
          <w:rFonts w:hint="eastAsia" w:ascii="宋体" w:hAnsi="宋体"/>
          <w:sz w:val="24"/>
        </w:rPr>
        <w:t>商户主体二维码应当可以展示商户的营业执照、摊位号等主体信息，通过扫描二维码，可以展示商户每日购进产品的名称、数量、对应的农产品的承诺达标合格证以及入场快检及场内抽检、商户送检等快检结果信息。</w:t>
      </w:r>
    </w:p>
    <w:p w14:paraId="4FD3EC35">
      <w:pPr>
        <w:spacing w:line="460" w:lineRule="exact"/>
        <w:ind w:firstLine="480"/>
        <w:rPr>
          <w:rFonts w:ascii="宋体" w:hAnsi="宋体"/>
          <w:sz w:val="24"/>
        </w:rPr>
      </w:pPr>
      <w:r>
        <w:rPr>
          <w:rFonts w:hint="eastAsia" w:ascii="宋体" w:hAnsi="宋体"/>
          <w:sz w:val="24"/>
        </w:rPr>
        <w:t>评：此商户的评价信息，并可对此商户进行评价。</w:t>
      </w:r>
    </w:p>
    <w:p w14:paraId="10199DCD">
      <w:pPr>
        <w:spacing w:line="460" w:lineRule="exact"/>
        <w:rPr>
          <w:rFonts w:ascii="宋体" w:hAnsi="宋体"/>
          <w:b/>
          <w:sz w:val="24"/>
        </w:rPr>
      </w:pPr>
      <w:r>
        <w:rPr>
          <w:rFonts w:hint="eastAsia" w:ascii="宋体" w:hAnsi="宋体"/>
          <w:b/>
          <w:sz w:val="24"/>
        </w:rPr>
        <w:t>（三）固定办公场地和标准化检测中心建设技术要求</w:t>
      </w:r>
    </w:p>
    <w:p w14:paraId="41C76E34">
      <w:pPr>
        <w:spacing w:line="460" w:lineRule="exact"/>
        <w:ind w:firstLine="480"/>
        <w:rPr>
          <w:rFonts w:ascii="宋体" w:hAnsi="宋体"/>
          <w:sz w:val="24"/>
        </w:rPr>
      </w:pPr>
      <w:r>
        <w:rPr>
          <w:rFonts w:hint="eastAsia" w:ascii="宋体" w:hAnsi="宋体"/>
          <w:sz w:val="24"/>
        </w:rPr>
        <w:t>中标（成交）供应商收到中标通知书5天内须向采购人提供</w:t>
      </w:r>
      <w:r>
        <w:rPr>
          <w:rFonts w:hint="eastAsia" w:ascii="宋体" w:hAnsi="宋体"/>
          <w:b/>
          <w:bCs/>
          <w:sz w:val="24"/>
        </w:rPr>
        <w:t>固定办公场地和标准化检测中心建设方案及乡镇农贸市场快检室运行方案</w:t>
      </w:r>
      <w:r>
        <w:rPr>
          <w:rFonts w:hint="eastAsia" w:ascii="宋体" w:hAnsi="宋体"/>
          <w:sz w:val="24"/>
        </w:rPr>
        <w:t>，方案经甲方批准后20天内完成建设并开展实施。固定办公场地和标准化检测中心须为独立工作场所，场所占地面积不小于100㎡，与其他非检测场所须有效隔离。软硬件设施必须符合快速检测工作要求，检测能力须满足本项目采购需求。具体</w:t>
      </w:r>
      <w:r>
        <w:rPr>
          <w:rFonts w:hint="eastAsia" w:ascii="宋体" w:hAnsi="宋体"/>
          <w:b/>
          <w:bCs/>
          <w:sz w:val="24"/>
        </w:rPr>
        <w:t>固定办公场地和标准化检测中心</w:t>
      </w:r>
      <w:r>
        <w:rPr>
          <w:rFonts w:hint="eastAsia" w:ascii="宋体" w:hAnsi="宋体"/>
          <w:sz w:val="24"/>
        </w:rPr>
        <w:t>建设要求如下:</w:t>
      </w:r>
    </w:p>
    <w:p w14:paraId="1ADBAB97">
      <w:pPr>
        <w:spacing w:line="460" w:lineRule="exact"/>
        <w:ind w:firstLine="480"/>
        <w:rPr>
          <w:rFonts w:ascii="宋体" w:hAnsi="宋体"/>
          <w:b/>
          <w:bCs/>
          <w:sz w:val="24"/>
          <w:lang w:val="zh-CN"/>
        </w:rPr>
      </w:pPr>
      <w:r>
        <w:rPr>
          <w:rFonts w:hint="eastAsia" w:ascii="宋体" w:hAnsi="宋体"/>
          <w:b/>
          <w:bCs/>
          <w:sz w:val="24"/>
        </w:rPr>
        <w:t>1、</w:t>
      </w:r>
      <w:r>
        <w:rPr>
          <w:rFonts w:hint="eastAsia" w:ascii="宋体" w:hAnsi="宋体"/>
          <w:b/>
          <w:bCs/>
          <w:sz w:val="24"/>
          <w:lang w:val="zh-CN"/>
        </w:rPr>
        <w:t>外观标识</w:t>
      </w:r>
    </w:p>
    <w:p w14:paraId="78528C81">
      <w:pPr>
        <w:spacing w:line="460" w:lineRule="exact"/>
        <w:ind w:firstLine="480"/>
        <w:rPr>
          <w:rFonts w:ascii="宋体" w:hAnsi="宋体"/>
          <w:sz w:val="24"/>
          <w:lang w:val="zh-CN"/>
        </w:rPr>
      </w:pPr>
      <w:r>
        <w:rPr>
          <w:rFonts w:hint="eastAsia" w:ascii="宋体" w:hAnsi="宋体"/>
          <w:sz w:val="24"/>
          <w:lang w:val="zh-CN"/>
        </w:rPr>
        <w:t>门头高度不低于80cm，长度根据快检室门头实际长短情况而定</w:t>
      </w:r>
      <w:r>
        <w:rPr>
          <w:rFonts w:hint="eastAsia" w:ascii="宋体" w:hAnsi="宋体"/>
          <w:sz w:val="24"/>
        </w:rPr>
        <w:t>,</w:t>
      </w:r>
      <w:r>
        <w:rPr>
          <w:rFonts w:hint="eastAsia" w:ascii="宋体" w:hAnsi="宋体"/>
          <w:sz w:val="24"/>
          <w:lang w:val="zh-CN"/>
        </w:rPr>
        <w:t>快检室标牌标识</w:t>
      </w:r>
      <w:r>
        <w:rPr>
          <w:rFonts w:hint="eastAsia" w:ascii="宋体" w:hAnsi="宋体"/>
          <w:sz w:val="24"/>
        </w:rPr>
        <w:t>格式</w:t>
      </w:r>
      <w:r>
        <w:rPr>
          <w:rFonts w:hint="eastAsia" w:ascii="宋体" w:hAnsi="宋体"/>
          <w:sz w:val="24"/>
          <w:lang w:val="zh-CN"/>
        </w:rPr>
        <w:t>由</w:t>
      </w:r>
      <w:r>
        <w:rPr>
          <w:rFonts w:hint="eastAsia" w:ascii="宋体" w:hAnsi="宋体"/>
          <w:sz w:val="24"/>
        </w:rPr>
        <w:t>采购人</w:t>
      </w:r>
      <w:r>
        <w:rPr>
          <w:rFonts w:hint="eastAsia" w:ascii="宋体" w:hAnsi="宋体"/>
          <w:sz w:val="24"/>
          <w:lang w:val="zh-CN"/>
        </w:rPr>
        <w:t>统一提供。</w:t>
      </w:r>
    </w:p>
    <w:p w14:paraId="11E52A1A">
      <w:pPr>
        <w:spacing w:line="460" w:lineRule="exact"/>
        <w:ind w:firstLine="480"/>
        <w:rPr>
          <w:rFonts w:ascii="宋体" w:hAnsi="宋体"/>
          <w:b/>
          <w:bCs/>
          <w:sz w:val="24"/>
          <w:lang w:val="zh-CN"/>
        </w:rPr>
      </w:pPr>
      <w:r>
        <w:rPr>
          <w:rFonts w:hint="eastAsia" w:ascii="宋体" w:hAnsi="宋体"/>
          <w:b/>
          <w:bCs/>
          <w:sz w:val="24"/>
          <w:lang w:val="zh-CN"/>
        </w:rPr>
        <w:t>2、室内装修</w:t>
      </w:r>
    </w:p>
    <w:p w14:paraId="1F8CD707">
      <w:pPr>
        <w:spacing w:line="460" w:lineRule="exact"/>
        <w:ind w:firstLine="480"/>
        <w:rPr>
          <w:rFonts w:ascii="宋体" w:hAnsi="宋体"/>
          <w:sz w:val="24"/>
          <w:lang w:val="zh-CN"/>
        </w:rPr>
      </w:pPr>
      <w:r>
        <w:rPr>
          <w:rFonts w:hint="eastAsia" w:ascii="宋体" w:hAnsi="宋体"/>
          <w:sz w:val="24"/>
          <w:lang w:val="zh-CN"/>
        </w:rPr>
        <w:t>装修色调素雅明亮，主色调为白色。墙面粉刷采用白色基调，顶棚用轻钢龙骨铝扣板吊顶。快检室内工作制度等上墙公示内容制作规格为60cm×90cm。</w:t>
      </w:r>
      <w:r>
        <w:rPr>
          <w:rFonts w:hint="eastAsia" w:ascii="宋体" w:hAnsi="宋体"/>
          <w:sz w:val="24"/>
        </w:rPr>
        <w:t>中标（成交）供应商</w:t>
      </w:r>
      <w:r>
        <w:rPr>
          <w:rFonts w:hint="eastAsia" w:ascii="宋体" w:hAnsi="宋体"/>
          <w:sz w:val="24"/>
          <w:lang w:val="zh-CN"/>
        </w:rPr>
        <w:t>须向采购人提供装修平面图，待采购人认可后方可施工。</w:t>
      </w:r>
      <w:r>
        <w:rPr>
          <w:rFonts w:hint="eastAsia" w:ascii="宋体" w:hAnsi="宋体"/>
          <w:sz w:val="24"/>
        </w:rPr>
        <w:t>检测室内须安装满足采购人要求的高清摄像头，摄像要求检测过程清晰可见，且检测过程可实时回放。</w:t>
      </w:r>
    </w:p>
    <w:p w14:paraId="7921E821">
      <w:pPr>
        <w:spacing w:line="460" w:lineRule="exact"/>
        <w:ind w:firstLine="480"/>
        <w:rPr>
          <w:rFonts w:ascii="宋体" w:hAnsi="宋体"/>
          <w:b/>
          <w:bCs/>
          <w:sz w:val="24"/>
          <w:lang w:val="zh-CN"/>
        </w:rPr>
      </w:pPr>
      <w:r>
        <w:rPr>
          <w:rFonts w:hint="eastAsia" w:ascii="宋体" w:hAnsi="宋体"/>
          <w:b/>
          <w:bCs/>
          <w:sz w:val="24"/>
          <w:lang w:val="zh-CN"/>
        </w:rPr>
        <w:t>3、空间布局</w:t>
      </w:r>
    </w:p>
    <w:p w14:paraId="24D329DC">
      <w:pPr>
        <w:spacing w:line="460" w:lineRule="exact"/>
        <w:ind w:firstLine="480"/>
        <w:rPr>
          <w:rFonts w:ascii="宋体" w:hAnsi="宋体"/>
          <w:sz w:val="24"/>
          <w:lang w:val="zh-CN"/>
        </w:rPr>
      </w:pPr>
      <w:r>
        <w:rPr>
          <w:rFonts w:hint="eastAsia" w:ascii="宋体" w:hAnsi="宋体"/>
          <w:sz w:val="24"/>
          <w:lang w:val="zh-CN"/>
        </w:rPr>
        <w:t>建设独立、面积适宜的</w:t>
      </w:r>
      <w:r>
        <w:rPr>
          <w:rFonts w:hint="eastAsia" w:ascii="宋体" w:hAnsi="宋体"/>
          <w:b/>
          <w:bCs/>
          <w:sz w:val="24"/>
          <w:lang w:val="zh-CN"/>
        </w:rPr>
        <w:t>固定办公场地和标准化检测中心</w:t>
      </w:r>
      <w:r>
        <w:rPr>
          <w:rFonts w:hint="eastAsia" w:ascii="宋体" w:hAnsi="宋体"/>
          <w:sz w:val="24"/>
          <w:lang w:val="zh-CN"/>
        </w:rPr>
        <w:t>，室内布局划分合理，功能完备，方便实验。配备电脑、打印机、办公桌椅、空调等办公设施</w:t>
      </w:r>
      <w:r>
        <w:rPr>
          <w:rFonts w:hint="eastAsia" w:ascii="宋体" w:hAnsi="宋体"/>
          <w:sz w:val="24"/>
        </w:rPr>
        <w:t>及</w:t>
      </w:r>
      <w:r>
        <w:rPr>
          <w:rFonts w:hint="eastAsia" w:ascii="宋体" w:hAnsi="宋体"/>
          <w:sz w:val="24"/>
          <w:lang w:val="zh-CN"/>
        </w:rPr>
        <w:t>防腐蚀实验台、试剂柜、留样冰箱、清洗水槽、实验凳、电源插座等检测设施。</w:t>
      </w:r>
    </w:p>
    <w:p w14:paraId="53F997BD">
      <w:pPr>
        <w:spacing w:line="460" w:lineRule="exact"/>
        <w:ind w:firstLine="480"/>
        <w:rPr>
          <w:rFonts w:ascii="宋体" w:hAnsi="宋体"/>
          <w:b/>
          <w:bCs/>
          <w:sz w:val="24"/>
          <w:lang w:val="zh-CN"/>
        </w:rPr>
      </w:pPr>
      <w:r>
        <w:rPr>
          <w:rFonts w:hint="eastAsia" w:ascii="宋体" w:hAnsi="宋体"/>
          <w:b/>
          <w:bCs/>
          <w:sz w:val="24"/>
          <w:lang w:val="zh-CN"/>
        </w:rPr>
        <w:t>4、实验器材</w:t>
      </w:r>
    </w:p>
    <w:p w14:paraId="293F1E0E">
      <w:pPr>
        <w:spacing w:line="460" w:lineRule="exact"/>
        <w:ind w:firstLine="480"/>
        <w:rPr>
          <w:rFonts w:ascii="宋体" w:hAnsi="宋体"/>
          <w:sz w:val="24"/>
          <w:lang w:val="zh-CN"/>
        </w:rPr>
      </w:pPr>
      <w:r>
        <w:rPr>
          <w:rFonts w:hint="eastAsia" w:ascii="宋体" w:hAnsi="宋体"/>
          <w:sz w:val="24"/>
          <w:lang w:val="zh-CN"/>
        </w:rPr>
        <w:t>配备开展食品安全快速检测所需的样品称量、处理、检测等实验仪器、检测试剂耗材。</w:t>
      </w:r>
    </w:p>
    <w:p w14:paraId="7570C43E">
      <w:pPr>
        <w:spacing w:line="460" w:lineRule="exact"/>
        <w:ind w:firstLine="480"/>
        <w:rPr>
          <w:rFonts w:ascii="宋体" w:hAnsi="宋体"/>
          <w:b/>
          <w:bCs/>
          <w:sz w:val="24"/>
          <w:lang w:val="zh-CN"/>
        </w:rPr>
      </w:pPr>
      <w:r>
        <w:rPr>
          <w:rFonts w:hint="eastAsia" w:ascii="宋体" w:hAnsi="宋体"/>
          <w:b/>
          <w:bCs/>
          <w:sz w:val="24"/>
          <w:lang w:val="zh-CN"/>
        </w:rPr>
        <w:t>5、环境条件</w:t>
      </w:r>
    </w:p>
    <w:p w14:paraId="02257178">
      <w:pPr>
        <w:spacing w:line="460" w:lineRule="exact"/>
        <w:ind w:firstLine="480"/>
        <w:rPr>
          <w:rFonts w:cs="宋体" w:asciiTheme="minorEastAsia" w:hAnsiTheme="minorEastAsia" w:eastAsiaTheme="minorEastAsia"/>
          <w:sz w:val="28"/>
          <w:szCs w:val="28"/>
          <w:lang w:val="zh-CN"/>
        </w:rPr>
      </w:pPr>
      <w:r>
        <w:rPr>
          <w:rFonts w:hint="eastAsia" w:ascii="宋体" w:hAnsi="宋体"/>
          <w:sz w:val="24"/>
          <w:lang w:val="zh-CN"/>
        </w:rPr>
        <w:t>保持良好的照明、供电、供排水、通风条件，温、湿度</w:t>
      </w:r>
      <w:r>
        <w:rPr>
          <w:rFonts w:hint="eastAsia" w:ascii="宋体" w:hAnsi="宋体"/>
          <w:sz w:val="24"/>
        </w:rPr>
        <w:t>须</w:t>
      </w:r>
      <w:r>
        <w:rPr>
          <w:rFonts w:hint="eastAsia" w:ascii="宋体" w:hAnsi="宋体"/>
          <w:sz w:val="24"/>
          <w:lang w:val="zh-CN"/>
        </w:rPr>
        <w:t>满足快速检测工作要求。配备必要的卫生设备，妥善处置实验用品和废弃试剂，确保实验操作环境的卫生、整洁和安全。</w:t>
      </w:r>
    </w:p>
    <w:p w14:paraId="717EAE48">
      <w:pPr>
        <w:spacing w:line="460" w:lineRule="exact"/>
        <w:ind w:firstLine="480"/>
        <w:rPr>
          <w:rFonts w:ascii="宋体" w:hAnsi="宋体"/>
          <w:b/>
          <w:bCs/>
          <w:sz w:val="24"/>
          <w:lang w:val="zh-CN"/>
        </w:rPr>
      </w:pPr>
      <w:r>
        <w:rPr>
          <w:rFonts w:hint="eastAsia" w:ascii="宋体" w:hAnsi="宋体"/>
          <w:b/>
          <w:bCs/>
          <w:sz w:val="24"/>
          <w:lang w:val="zh-CN"/>
        </w:rPr>
        <w:t>6、公示设备</w:t>
      </w:r>
    </w:p>
    <w:p w14:paraId="23F0E803">
      <w:pPr>
        <w:spacing w:line="460" w:lineRule="exact"/>
        <w:ind w:firstLine="480"/>
        <w:rPr>
          <w:rFonts w:ascii="宋体" w:hAnsi="宋体"/>
          <w:sz w:val="24"/>
          <w:lang w:val="zh-CN"/>
        </w:rPr>
      </w:pPr>
      <w:r>
        <w:rPr>
          <w:rFonts w:hint="eastAsia" w:ascii="宋体" w:hAnsi="宋体"/>
          <w:sz w:val="24"/>
          <w:lang w:val="zh-CN"/>
        </w:rPr>
        <w:t>检测中心外或大厅明显位置设置电子显示设备，设备支持食品安全政策法规、资讯、检测信息等发布，并可供公众查阅。</w:t>
      </w:r>
    </w:p>
    <w:p w14:paraId="6C017C33">
      <w:pPr>
        <w:spacing w:line="460" w:lineRule="exact"/>
        <w:ind w:firstLine="480"/>
        <w:rPr>
          <w:rFonts w:ascii="宋体" w:hAnsi="宋体"/>
          <w:b/>
          <w:bCs/>
          <w:sz w:val="24"/>
          <w:lang w:val="zh-CN"/>
        </w:rPr>
      </w:pPr>
      <w:r>
        <w:rPr>
          <w:rFonts w:hint="eastAsia" w:ascii="宋体" w:hAnsi="宋体"/>
          <w:b/>
          <w:bCs/>
          <w:sz w:val="24"/>
          <w:lang w:val="zh-CN"/>
        </w:rPr>
        <w:t>7、“你送我检”样品接收及登记设施</w:t>
      </w:r>
    </w:p>
    <w:p w14:paraId="1006AAD0">
      <w:pPr>
        <w:spacing w:line="460" w:lineRule="exact"/>
        <w:ind w:firstLine="480"/>
        <w:rPr>
          <w:rFonts w:ascii="宋体" w:hAnsi="宋体"/>
          <w:sz w:val="24"/>
          <w:lang w:val="zh-CN"/>
        </w:rPr>
      </w:pPr>
      <w:r>
        <w:rPr>
          <w:rFonts w:hint="eastAsia" w:ascii="宋体" w:hAnsi="宋体"/>
          <w:sz w:val="24"/>
          <w:lang w:val="zh-CN"/>
        </w:rPr>
        <w:t>检测中心</w:t>
      </w:r>
      <w:r>
        <w:rPr>
          <w:rFonts w:hint="eastAsia" w:ascii="宋体" w:hAnsi="宋体"/>
          <w:sz w:val="24"/>
        </w:rPr>
        <w:t>须</w:t>
      </w:r>
      <w:r>
        <w:rPr>
          <w:rFonts w:hint="eastAsia" w:ascii="宋体" w:hAnsi="宋体"/>
          <w:sz w:val="24"/>
          <w:lang w:val="zh-CN"/>
        </w:rPr>
        <w:t>设置符合要求的“你送我检”样品接收及登记设施，供消费者送检的自购食品，并及时告知和解读检测结果。</w:t>
      </w:r>
    </w:p>
    <w:p w14:paraId="6AD3B1D2">
      <w:pPr>
        <w:spacing w:line="460" w:lineRule="exact"/>
        <w:ind w:firstLine="480"/>
        <w:rPr>
          <w:rFonts w:ascii="宋体" w:hAnsi="宋体"/>
          <w:b/>
          <w:bCs/>
          <w:sz w:val="24"/>
          <w:lang w:val="zh-CN"/>
        </w:rPr>
      </w:pPr>
      <w:r>
        <w:rPr>
          <w:rFonts w:hint="eastAsia" w:ascii="宋体" w:hAnsi="宋体"/>
          <w:b/>
          <w:bCs/>
          <w:sz w:val="24"/>
          <w:lang w:val="zh-CN"/>
        </w:rPr>
        <w:t>8、其它要求</w:t>
      </w:r>
    </w:p>
    <w:p w14:paraId="5659B156">
      <w:pPr>
        <w:spacing w:line="460" w:lineRule="exact"/>
        <w:ind w:firstLine="480"/>
        <w:rPr>
          <w:rFonts w:ascii="宋体" w:hAnsi="宋体"/>
          <w:sz w:val="24"/>
          <w:lang w:val="zh-CN"/>
        </w:rPr>
      </w:pPr>
      <w:r>
        <w:rPr>
          <w:rFonts w:hint="eastAsia" w:ascii="宋体" w:hAnsi="宋体"/>
          <w:sz w:val="24"/>
        </w:rPr>
        <w:t>中标（成交）供应商必须</w:t>
      </w:r>
      <w:r>
        <w:rPr>
          <w:rFonts w:hint="eastAsia" w:ascii="宋体" w:hAnsi="宋体"/>
          <w:sz w:val="24"/>
          <w:lang w:val="zh-CN"/>
        </w:rPr>
        <w:t>按要求保管仪器设备和检测试剂，并定期维护和检查，确保能够正常使用。基础设施和装修符合消防、防盗、防灾等其他规定。</w:t>
      </w:r>
    </w:p>
    <w:p w14:paraId="49F50762">
      <w:pPr>
        <w:spacing w:line="460" w:lineRule="exact"/>
        <w:ind w:firstLine="480"/>
        <w:rPr>
          <w:rFonts w:ascii="宋体" w:hAnsi="宋体"/>
          <w:sz w:val="24"/>
          <w:lang w:val="zh-CN"/>
        </w:rPr>
      </w:pPr>
      <w:r>
        <w:rPr>
          <w:rFonts w:hint="eastAsia" w:ascii="宋体" w:hAnsi="宋体"/>
          <w:sz w:val="24"/>
          <w:lang w:val="zh-CN"/>
        </w:rPr>
        <w:t>除满足上述要求外，还应当按照试剂贮存、检测、信息录入、档案管理等实际操作的需要</w:t>
      </w:r>
      <w:r>
        <w:rPr>
          <w:rFonts w:hint="eastAsia" w:ascii="宋体" w:hAnsi="宋体"/>
          <w:sz w:val="24"/>
        </w:rPr>
        <w:t>进行</w:t>
      </w:r>
      <w:r>
        <w:rPr>
          <w:rFonts w:hint="eastAsia" w:ascii="宋体" w:hAnsi="宋体"/>
          <w:sz w:val="24"/>
          <w:lang w:val="zh-CN"/>
        </w:rPr>
        <w:t>分隔相应区域。</w:t>
      </w:r>
    </w:p>
    <w:p w14:paraId="58291DF5">
      <w:pPr>
        <w:spacing w:line="460" w:lineRule="exact"/>
        <w:rPr>
          <w:rFonts w:ascii="宋体" w:hAnsi="宋体"/>
          <w:b/>
          <w:bCs/>
          <w:sz w:val="24"/>
          <w:lang w:val="zh-CN"/>
        </w:rPr>
      </w:pPr>
      <w:r>
        <w:rPr>
          <w:rFonts w:hint="eastAsia" w:ascii="宋体" w:hAnsi="宋体"/>
          <w:b/>
          <w:bCs/>
          <w:sz w:val="24"/>
          <w:lang w:val="zh-CN"/>
        </w:rPr>
        <w:t>（</w:t>
      </w:r>
      <w:r>
        <w:rPr>
          <w:rFonts w:hint="eastAsia" w:ascii="宋体" w:hAnsi="宋体"/>
          <w:b/>
          <w:bCs/>
          <w:sz w:val="24"/>
        </w:rPr>
        <w:t>1</w:t>
      </w:r>
      <w:r>
        <w:rPr>
          <w:rFonts w:hint="eastAsia" w:ascii="宋体" w:hAnsi="宋体"/>
          <w:b/>
          <w:bCs/>
          <w:sz w:val="24"/>
          <w:lang w:val="zh-CN"/>
        </w:rPr>
        <w:t>）快检室建设明细如下：</w:t>
      </w:r>
    </w:p>
    <w:tbl>
      <w:tblPr>
        <w:tblStyle w:val="17"/>
        <w:tblW w:w="5112" w:type="pct"/>
        <w:jc w:val="center"/>
        <w:tblLayout w:type="autofit"/>
        <w:tblCellMar>
          <w:top w:w="0" w:type="dxa"/>
          <w:left w:w="0" w:type="dxa"/>
          <w:bottom w:w="0" w:type="dxa"/>
          <w:right w:w="0" w:type="dxa"/>
        </w:tblCellMar>
      </w:tblPr>
      <w:tblGrid>
        <w:gridCol w:w="634"/>
        <w:gridCol w:w="2711"/>
        <w:gridCol w:w="5760"/>
        <w:gridCol w:w="769"/>
      </w:tblGrid>
      <w:tr w14:paraId="26F00EE3">
        <w:tblPrEx>
          <w:tblCellMar>
            <w:top w:w="0" w:type="dxa"/>
            <w:left w:w="0" w:type="dxa"/>
            <w:bottom w:w="0" w:type="dxa"/>
            <w:right w:w="0" w:type="dxa"/>
          </w:tblCellMar>
        </w:tblPrEx>
        <w:trPr>
          <w:jc w:val="center"/>
        </w:trPr>
        <w:tc>
          <w:tcPr>
            <w:tcW w:w="3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6F144C">
            <w:pPr>
              <w:spacing w:line="460" w:lineRule="exact"/>
              <w:jc w:val="center"/>
              <w:rPr>
                <w:rFonts w:ascii="宋体" w:hAnsi="宋体"/>
                <w:b/>
                <w:bCs/>
                <w:sz w:val="24"/>
                <w:lang w:val="zh-CN"/>
              </w:rPr>
            </w:pPr>
            <w:r>
              <w:rPr>
                <w:rFonts w:hint="eastAsia" w:ascii="宋体" w:hAnsi="宋体"/>
                <w:b/>
                <w:bCs/>
                <w:sz w:val="24"/>
              </w:rPr>
              <w:t>序号</w:t>
            </w:r>
          </w:p>
        </w:tc>
        <w:tc>
          <w:tcPr>
            <w:tcW w:w="137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A8EB7">
            <w:pPr>
              <w:spacing w:line="460" w:lineRule="exact"/>
              <w:jc w:val="center"/>
              <w:rPr>
                <w:rFonts w:ascii="宋体" w:hAnsi="宋体"/>
                <w:b/>
                <w:bCs/>
                <w:sz w:val="24"/>
                <w:lang w:val="zh-CN"/>
              </w:rPr>
            </w:pPr>
            <w:r>
              <w:rPr>
                <w:rFonts w:hint="eastAsia" w:ascii="宋体" w:hAnsi="宋体"/>
                <w:b/>
                <w:bCs/>
                <w:sz w:val="24"/>
                <w:lang w:val="zh-CN"/>
              </w:rPr>
              <w:t>名称</w:t>
            </w:r>
          </w:p>
        </w:tc>
        <w:tc>
          <w:tcPr>
            <w:tcW w:w="2915" w:type="pct"/>
            <w:tcBorders>
              <w:top w:val="single" w:color="000000" w:sz="4" w:space="0"/>
              <w:left w:val="single" w:color="000000" w:sz="4" w:space="0"/>
              <w:bottom w:val="single" w:color="000000" w:sz="4" w:space="0"/>
              <w:right w:val="single" w:color="000000" w:sz="4" w:space="0"/>
            </w:tcBorders>
            <w:vAlign w:val="center"/>
          </w:tcPr>
          <w:p w14:paraId="6EF1B38E">
            <w:pPr>
              <w:spacing w:line="460" w:lineRule="exact"/>
              <w:ind w:firstLine="480"/>
              <w:jc w:val="center"/>
              <w:rPr>
                <w:rFonts w:ascii="宋体" w:hAnsi="宋体"/>
                <w:b/>
                <w:bCs/>
                <w:sz w:val="24"/>
                <w:lang w:val="zh-CN"/>
              </w:rPr>
            </w:pPr>
            <w:r>
              <w:rPr>
                <w:rFonts w:hint="eastAsia" w:ascii="宋体" w:hAnsi="宋体"/>
                <w:b/>
                <w:bCs/>
                <w:sz w:val="24"/>
                <w:lang w:val="zh-CN"/>
              </w:rPr>
              <w:t>规格</w:t>
            </w:r>
          </w:p>
        </w:tc>
        <w:tc>
          <w:tcPr>
            <w:tcW w:w="389" w:type="pct"/>
            <w:tcBorders>
              <w:top w:val="single" w:color="000000" w:sz="4" w:space="0"/>
              <w:left w:val="single" w:color="000000" w:sz="4" w:space="0"/>
              <w:bottom w:val="single" w:color="000000" w:sz="4" w:space="0"/>
              <w:right w:val="single" w:color="000000" w:sz="4" w:space="0"/>
            </w:tcBorders>
            <w:vAlign w:val="center"/>
          </w:tcPr>
          <w:p w14:paraId="49824DD0">
            <w:pPr>
              <w:spacing w:line="460" w:lineRule="exact"/>
              <w:jc w:val="center"/>
              <w:rPr>
                <w:rFonts w:ascii="宋体" w:hAnsi="宋体"/>
                <w:b/>
                <w:bCs/>
                <w:sz w:val="24"/>
                <w:lang w:val="zh-CN"/>
              </w:rPr>
            </w:pPr>
            <w:r>
              <w:rPr>
                <w:rFonts w:hint="eastAsia" w:ascii="宋体" w:hAnsi="宋体"/>
                <w:b/>
                <w:bCs/>
                <w:sz w:val="24"/>
                <w:lang w:val="zh-CN"/>
              </w:rPr>
              <w:t>数量</w:t>
            </w:r>
          </w:p>
        </w:tc>
      </w:tr>
      <w:tr w14:paraId="20E38522">
        <w:tblPrEx>
          <w:tblCellMar>
            <w:top w:w="0" w:type="dxa"/>
            <w:left w:w="0" w:type="dxa"/>
            <w:bottom w:w="0" w:type="dxa"/>
            <w:right w:w="0" w:type="dxa"/>
          </w:tblCellMar>
        </w:tblPrEx>
        <w:trPr>
          <w:jc w:val="center"/>
        </w:trPr>
        <w:tc>
          <w:tcPr>
            <w:tcW w:w="3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77EAA3">
            <w:pPr>
              <w:spacing w:line="460" w:lineRule="exact"/>
              <w:jc w:val="center"/>
              <w:rPr>
                <w:rFonts w:ascii="宋体" w:hAnsi="宋体"/>
                <w:sz w:val="24"/>
                <w:lang w:val="zh-CN"/>
              </w:rPr>
            </w:pPr>
            <w:r>
              <w:rPr>
                <w:rFonts w:hint="eastAsia" w:ascii="宋体" w:hAnsi="宋体"/>
                <w:sz w:val="24"/>
                <w:lang w:val="zh-CN"/>
              </w:rPr>
              <w:t>1</w:t>
            </w:r>
          </w:p>
        </w:tc>
        <w:tc>
          <w:tcPr>
            <w:tcW w:w="137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156B1">
            <w:pPr>
              <w:spacing w:line="460" w:lineRule="exact"/>
              <w:ind w:firstLine="480"/>
              <w:rPr>
                <w:rFonts w:ascii="宋体" w:hAnsi="宋体"/>
                <w:sz w:val="24"/>
                <w:lang w:val="zh-CN"/>
              </w:rPr>
            </w:pPr>
            <w:r>
              <w:rPr>
                <w:rFonts w:hint="eastAsia" w:ascii="宋体" w:hAnsi="宋体"/>
                <w:sz w:val="24"/>
                <w:lang w:val="zh-CN"/>
              </w:rPr>
              <w:t>快检室基础建设</w:t>
            </w:r>
          </w:p>
        </w:tc>
        <w:tc>
          <w:tcPr>
            <w:tcW w:w="2915" w:type="pct"/>
            <w:tcBorders>
              <w:top w:val="single" w:color="000000" w:sz="4" w:space="0"/>
              <w:left w:val="single" w:color="000000" w:sz="4" w:space="0"/>
              <w:bottom w:val="single" w:color="000000" w:sz="4" w:space="0"/>
              <w:right w:val="single" w:color="000000" w:sz="4" w:space="0"/>
            </w:tcBorders>
            <w:vAlign w:val="center"/>
          </w:tcPr>
          <w:p w14:paraId="70179838">
            <w:pPr>
              <w:spacing w:line="300" w:lineRule="exact"/>
              <w:jc w:val="left"/>
              <w:rPr>
                <w:rFonts w:ascii="宋体" w:hAnsi="宋体"/>
                <w:sz w:val="24"/>
                <w:lang w:val="zh-CN"/>
              </w:rPr>
            </w:pPr>
            <w:r>
              <w:rPr>
                <w:rFonts w:hint="eastAsia" w:ascii="宋体" w:hAnsi="宋体"/>
                <w:sz w:val="24"/>
                <w:lang w:val="zh-CN"/>
              </w:rPr>
              <w:t>1、建筑及装修垃圾外运，运距按所在位置综合虑；</w:t>
            </w:r>
          </w:p>
          <w:p w14:paraId="543786F7">
            <w:pPr>
              <w:spacing w:line="300" w:lineRule="exact"/>
              <w:jc w:val="left"/>
              <w:rPr>
                <w:rFonts w:ascii="宋体" w:hAnsi="宋体"/>
                <w:sz w:val="24"/>
                <w:lang w:val="zh-CN"/>
              </w:rPr>
            </w:pPr>
            <w:r>
              <w:rPr>
                <w:rFonts w:hint="eastAsia" w:ascii="宋体" w:hAnsi="宋体"/>
                <w:sz w:val="24"/>
                <w:lang w:val="zh-CN"/>
              </w:rPr>
              <w:t>2、地面修平，铺设地砖；</w:t>
            </w:r>
          </w:p>
          <w:p w14:paraId="71419DD9">
            <w:pPr>
              <w:spacing w:line="300" w:lineRule="exact"/>
              <w:jc w:val="left"/>
              <w:rPr>
                <w:rFonts w:ascii="宋体" w:hAnsi="宋体"/>
                <w:sz w:val="24"/>
                <w:lang w:val="zh-CN"/>
              </w:rPr>
            </w:pPr>
            <w:r>
              <w:rPr>
                <w:rFonts w:hint="eastAsia" w:ascii="宋体" w:hAnsi="宋体"/>
                <w:sz w:val="24"/>
                <w:lang w:val="zh-CN"/>
              </w:rPr>
              <w:t>3、墙面根据实际需要开线路槽，找平粉刷；</w:t>
            </w:r>
          </w:p>
          <w:p w14:paraId="7D519227">
            <w:pPr>
              <w:spacing w:line="300" w:lineRule="exact"/>
              <w:jc w:val="left"/>
              <w:rPr>
                <w:rFonts w:ascii="宋体" w:hAnsi="宋体"/>
                <w:sz w:val="24"/>
                <w:lang w:val="zh-CN"/>
              </w:rPr>
            </w:pPr>
            <w:r>
              <w:rPr>
                <w:rFonts w:hint="eastAsia" w:ascii="宋体" w:hAnsi="宋体"/>
                <w:sz w:val="24"/>
                <w:lang w:val="zh-CN"/>
              </w:rPr>
              <w:t>4、吊顶为轻钢龙骨；</w:t>
            </w:r>
          </w:p>
          <w:p w14:paraId="3D60D9FB">
            <w:pPr>
              <w:spacing w:line="300" w:lineRule="exact"/>
              <w:jc w:val="left"/>
              <w:rPr>
                <w:rFonts w:ascii="宋体" w:hAnsi="宋体"/>
                <w:sz w:val="24"/>
                <w:lang w:val="zh-CN"/>
              </w:rPr>
            </w:pPr>
            <w:r>
              <w:rPr>
                <w:rFonts w:hint="eastAsia" w:ascii="宋体" w:hAnsi="宋体"/>
                <w:sz w:val="24"/>
                <w:lang w:val="zh-CN"/>
              </w:rPr>
              <w:t>5、电源：房间装总控配电箱，照明电源和插座电源单独控制。电源用BV4平方电线。按照实际需要配备空调插座，冰箱插座，五孔多功能插座至少5个、照明开关；</w:t>
            </w:r>
          </w:p>
          <w:p w14:paraId="479736BE">
            <w:pPr>
              <w:spacing w:line="300" w:lineRule="exact"/>
              <w:jc w:val="left"/>
              <w:rPr>
                <w:rFonts w:ascii="宋体" w:hAnsi="宋体"/>
                <w:sz w:val="24"/>
                <w:lang w:val="zh-CN"/>
              </w:rPr>
            </w:pPr>
            <w:r>
              <w:rPr>
                <w:rFonts w:hint="eastAsia" w:ascii="宋体" w:hAnsi="宋体"/>
                <w:sz w:val="24"/>
                <w:lang w:val="zh-CN"/>
              </w:rPr>
              <w:t>6、照明：照度≥200lux，根据实际面积及使用要求安装；</w:t>
            </w:r>
          </w:p>
          <w:p w14:paraId="0F1BF895">
            <w:pPr>
              <w:spacing w:line="300" w:lineRule="exact"/>
              <w:jc w:val="left"/>
              <w:rPr>
                <w:rFonts w:ascii="宋体" w:hAnsi="宋体"/>
                <w:sz w:val="24"/>
                <w:lang w:val="zh-CN"/>
              </w:rPr>
            </w:pPr>
            <w:r>
              <w:rPr>
                <w:rFonts w:hint="eastAsia" w:ascii="宋体" w:hAnsi="宋体"/>
                <w:sz w:val="24"/>
                <w:lang w:val="zh-CN"/>
              </w:rPr>
              <w:t>7、自来水接入上下水，上下水管PPR材质，加装实验室</w:t>
            </w:r>
            <w:r>
              <w:rPr>
                <w:rFonts w:hint="eastAsia" w:ascii="宋体" w:hAnsi="宋体"/>
                <w:sz w:val="24"/>
              </w:rPr>
              <w:t>采</w:t>
            </w:r>
            <w:r>
              <w:rPr>
                <w:rFonts w:hint="eastAsia" w:ascii="宋体" w:hAnsi="宋体"/>
                <w:sz w:val="24"/>
                <w:lang w:val="zh-CN"/>
              </w:rPr>
              <w:t>用三联水龙头；</w:t>
            </w:r>
          </w:p>
          <w:p w14:paraId="3F1C32A3">
            <w:pPr>
              <w:spacing w:line="300" w:lineRule="exact"/>
              <w:jc w:val="left"/>
              <w:rPr>
                <w:rFonts w:ascii="宋体" w:hAnsi="宋体"/>
                <w:sz w:val="24"/>
                <w:lang w:val="zh-CN"/>
              </w:rPr>
            </w:pPr>
            <w:r>
              <w:rPr>
                <w:rFonts w:hint="eastAsia" w:ascii="宋体" w:hAnsi="宋体"/>
                <w:sz w:val="24"/>
                <w:lang w:val="zh-CN"/>
              </w:rPr>
              <w:t>8、样品接收及登记设施要求：采用环保免漆板材质，尺寸不小于120*40*100cm</w:t>
            </w:r>
          </w:p>
          <w:p w14:paraId="37CF6E22">
            <w:pPr>
              <w:spacing w:line="300" w:lineRule="exact"/>
              <w:jc w:val="left"/>
              <w:rPr>
                <w:rFonts w:ascii="宋体" w:hAnsi="宋体"/>
                <w:sz w:val="24"/>
                <w:lang w:val="zh-CN"/>
              </w:rPr>
            </w:pPr>
            <w:r>
              <w:rPr>
                <w:rFonts w:hint="eastAsia" w:ascii="宋体" w:hAnsi="宋体"/>
                <w:sz w:val="24"/>
                <w:lang w:val="zh-CN"/>
              </w:rPr>
              <w:t>9、制度标牌：60*90cm，KT板，每个实验室至少6块；</w:t>
            </w:r>
          </w:p>
        </w:tc>
        <w:tc>
          <w:tcPr>
            <w:tcW w:w="389" w:type="pct"/>
            <w:tcBorders>
              <w:top w:val="single" w:color="000000" w:sz="4" w:space="0"/>
              <w:left w:val="single" w:color="000000" w:sz="4" w:space="0"/>
              <w:bottom w:val="single" w:color="000000" w:sz="4" w:space="0"/>
              <w:right w:val="single" w:color="000000" w:sz="4" w:space="0"/>
            </w:tcBorders>
            <w:vAlign w:val="center"/>
          </w:tcPr>
          <w:p w14:paraId="2BC0DCCE">
            <w:pPr>
              <w:spacing w:line="460" w:lineRule="exact"/>
              <w:jc w:val="center"/>
              <w:rPr>
                <w:rFonts w:ascii="宋体" w:hAnsi="宋体"/>
                <w:sz w:val="24"/>
                <w:lang w:val="zh-CN"/>
              </w:rPr>
            </w:pPr>
            <w:r>
              <w:rPr>
                <w:rFonts w:hint="eastAsia" w:ascii="宋体" w:hAnsi="宋体"/>
                <w:sz w:val="24"/>
                <w:lang w:val="zh-CN"/>
              </w:rPr>
              <w:t>1套</w:t>
            </w:r>
          </w:p>
        </w:tc>
      </w:tr>
      <w:tr w14:paraId="5CC38931">
        <w:tblPrEx>
          <w:tblCellMar>
            <w:top w:w="0" w:type="dxa"/>
            <w:left w:w="0" w:type="dxa"/>
            <w:bottom w:w="0" w:type="dxa"/>
            <w:right w:w="0" w:type="dxa"/>
          </w:tblCellMar>
        </w:tblPrEx>
        <w:trPr>
          <w:jc w:val="center"/>
        </w:trPr>
        <w:tc>
          <w:tcPr>
            <w:tcW w:w="3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7728F7">
            <w:pPr>
              <w:spacing w:line="460" w:lineRule="exact"/>
              <w:jc w:val="center"/>
              <w:rPr>
                <w:rFonts w:ascii="宋体" w:hAnsi="宋体"/>
                <w:sz w:val="24"/>
                <w:lang w:val="zh-CN"/>
              </w:rPr>
            </w:pPr>
            <w:r>
              <w:rPr>
                <w:rFonts w:hint="eastAsia" w:ascii="宋体" w:hAnsi="宋体"/>
                <w:sz w:val="24"/>
                <w:lang w:val="zh-CN"/>
              </w:rPr>
              <w:t>2</w:t>
            </w:r>
          </w:p>
        </w:tc>
        <w:tc>
          <w:tcPr>
            <w:tcW w:w="137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B6DBD">
            <w:pPr>
              <w:spacing w:line="460" w:lineRule="exact"/>
              <w:jc w:val="center"/>
              <w:rPr>
                <w:rFonts w:ascii="宋体" w:hAnsi="宋体"/>
                <w:sz w:val="24"/>
                <w:lang w:val="zh-CN"/>
              </w:rPr>
            </w:pPr>
            <w:r>
              <w:rPr>
                <w:rFonts w:hint="eastAsia" w:ascii="宋体" w:hAnsi="宋体"/>
                <w:sz w:val="24"/>
                <w:lang w:val="zh-CN"/>
              </w:rPr>
              <w:t>防腐蚀实验操作台</w:t>
            </w:r>
          </w:p>
        </w:tc>
        <w:tc>
          <w:tcPr>
            <w:tcW w:w="2915" w:type="pct"/>
            <w:tcBorders>
              <w:top w:val="single" w:color="000000" w:sz="4" w:space="0"/>
              <w:left w:val="single" w:color="000000" w:sz="4" w:space="0"/>
              <w:bottom w:val="single" w:color="000000" w:sz="4" w:space="0"/>
              <w:right w:val="single" w:color="000000" w:sz="4" w:space="0"/>
            </w:tcBorders>
            <w:vAlign w:val="center"/>
          </w:tcPr>
          <w:p w14:paraId="3D5DB59D">
            <w:pPr>
              <w:spacing w:line="300" w:lineRule="exact"/>
              <w:jc w:val="left"/>
              <w:rPr>
                <w:rFonts w:ascii="宋体" w:hAnsi="宋体"/>
                <w:sz w:val="24"/>
                <w:lang w:val="zh-CN"/>
              </w:rPr>
            </w:pPr>
            <w:r>
              <w:rPr>
                <w:rFonts w:hint="eastAsia" w:ascii="宋体" w:hAnsi="宋体"/>
                <w:sz w:val="24"/>
                <w:lang w:val="zh-CN"/>
              </w:rPr>
              <w:t>1、每套实验台至少含操作台面、组合低柜、清洗水槽、滴水架、洗眼器、试剂架等；</w:t>
            </w:r>
          </w:p>
          <w:p w14:paraId="4F0D2C97">
            <w:pPr>
              <w:spacing w:line="300" w:lineRule="exact"/>
              <w:jc w:val="left"/>
              <w:rPr>
                <w:rFonts w:ascii="宋体" w:hAnsi="宋体"/>
                <w:sz w:val="24"/>
                <w:lang w:val="zh-CN"/>
              </w:rPr>
            </w:pPr>
            <w:r>
              <w:rPr>
                <w:rFonts w:hint="eastAsia" w:ascii="宋体" w:hAnsi="宋体"/>
                <w:sz w:val="24"/>
                <w:lang w:val="zh-CN"/>
              </w:rPr>
              <w:t>2、实验台高宽为：800mm*750mm；长度根据每个实验室实际布局灵活组合定制；</w:t>
            </w:r>
          </w:p>
          <w:p w14:paraId="47746D8E">
            <w:pPr>
              <w:spacing w:line="300" w:lineRule="exact"/>
              <w:jc w:val="left"/>
              <w:rPr>
                <w:rFonts w:ascii="宋体" w:hAnsi="宋体"/>
                <w:sz w:val="24"/>
                <w:lang w:val="zh-CN"/>
              </w:rPr>
            </w:pPr>
            <w:r>
              <w:rPr>
                <w:rFonts w:hint="eastAsia" w:ascii="宋体" w:hAnsi="宋体"/>
                <w:sz w:val="24"/>
                <w:lang w:val="zh-CN"/>
              </w:rPr>
              <w:t>3、材质要求：主框架采用40*60mm高质量钢材焊接而成，表面经EPOXY粉体喷涂处理，结构牢固可靠，防腐性能良好,外表美观；</w:t>
            </w:r>
          </w:p>
          <w:p w14:paraId="589BAC1D">
            <w:pPr>
              <w:spacing w:line="300" w:lineRule="exact"/>
              <w:jc w:val="left"/>
              <w:rPr>
                <w:rFonts w:ascii="宋体" w:hAnsi="宋体"/>
                <w:sz w:val="24"/>
                <w:lang w:val="zh-CN"/>
              </w:rPr>
            </w:pPr>
            <w:r>
              <w:rPr>
                <w:rFonts w:hint="eastAsia" w:ascii="宋体" w:hAnsi="宋体"/>
                <w:sz w:val="24"/>
                <w:lang w:val="zh-CN"/>
              </w:rPr>
              <w:t>4、面板要求：采用黑色,厚度≤15.88mm的实心理化板，边缘加厚外修圆，</w:t>
            </w:r>
            <w:r>
              <w:rPr>
                <w:rFonts w:hint="eastAsia" w:ascii="宋体" w:hAnsi="宋体"/>
                <w:sz w:val="24"/>
              </w:rPr>
              <w:t>须</w:t>
            </w:r>
            <w:r>
              <w:rPr>
                <w:rFonts w:hint="eastAsia" w:ascii="宋体" w:hAnsi="宋体"/>
                <w:sz w:val="24"/>
                <w:lang w:val="zh-CN"/>
              </w:rPr>
              <w:t>厂家一次性加工成型，耐酸碱腐蚀；</w:t>
            </w:r>
          </w:p>
          <w:p w14:paraId="6726B1F8">
            <w:pPr>
              <w:spacing w:line="300" w:lineRule="exact"/>
              <w:jc w:val="left"/>
              <w:rPr>
                <w:rFonts w:ascii="宋体" w:hAnsi="宋体"/>
                <w:sz w:val="24"/>
                <w:lang w:val="zh-CN"/>
              </w:rPr>
            </w:pPr>
            <w:r>
              <w:rPr>
                <w:rFonts w:hint="eastAsia" w:ascii="宋体" w:hAnsi="宋体"/>
                <w:sz w:val="24"/>
                <w:lang w:val="zh-CN"/>
              </w:rPr>
              <w:t>5、清洗水槽要求：采用防腐高密度PP材质，自带进出水阀开关；</w:t>
            </w:r>
          </w:p>
          <w:p w14:paraId="52866457">
            <w:pPr>
              <w:spacing w:line="300" w:lineRule="exact"/>
              <w:jc w:val="left"/>
              <w:rPr>
                <w:rFonts w:ascii="宋体" w:hAnsi="宋体"/>
                <w:sz w:val="24"/>
                <w:lang w:val="zh-CN"/>
              </w:rPr>
            </w:pPr>
            <w:r>
              <w:rPr>
                <w:rFonts w:hint="eastAsia" w:ascii="宋体" w:hAnsi="宋体"/>
                <w:sz w:val="24"/>
                <w:lang w:val="zh-CN"/>
              </w:rPr>
              <w:t>6、</w:t>
            </w:r>
            <w:r>
              <w:rPr>
                <w:rFonts w:hint="eastAsia" w:ascii="宋体" w:hAnsi="宋体"/>
                <w:b/>
                <w:bCs/>
                <w:sz w:val="24"/>
                <w:lang w:val="zh-CN"/>
              </w:rPr>
              <w:t>洗眼器</w:t>
            </w:r>
            <w:r>
              <w:rPr>
                <w:rFonts w:hint="eastAsia" w:ascii="宋体" w:hAnsi="宋体"/>
                <w:sz w:val="24"/>
                <w:lang w:val="zh-CN"/>
              </w:rPr>
              <w:t>：台式、加厚铜质；</w:t>
            </w:r>
          </w:p>
          <w:p w14:paraId="08C43101">
            <w:pPr>
              <w:spacing w:line="300" w:lineRule="exact"/>
              <w:jc w:val="left"/>
              <w:rPr>
                <w:rFonts w:ascii="宋体" w:hAnsi="宋体"/>
                <w:sz w:val="24"/>
                <w:lang w:val="zh-CN"/>
              </w:rPr>
            </w:pPr>
            <w:r>
              <w:rPr>
                <w:rFonts w:hint="eastAsia" w:ascii="宋体" w:hAnsi="宋体"/>
                <w:b/>
                <w:bCs/>
                <w:sz w:val="24"/>
                <w:lang w:val="zh-CN"/>
              </w:rPr>
              <w:t>涂层：</w:t>
            </w:r>
            <w:r>
              <w:rPr>
                <w:rFonts w:hint="eastAsia" w:ascii="宋体" w:hAnsi="宋体"/>
                <w:sz w:val="24"/>
                <w:lang w:val="zh-CN"/>
              </w:rPr>
              <w:t>高亮度环氧树脂涂层，耐腐蚀、耐热、防紫外线辐射；</w:t>
            </w:r>
          </w:p>
          <w:p w14:paraId="6998AD35">
            <w:pPr>
              <w:spacing w:line="300" w:lineRule="exact"/>
              <w:jc w:val="left"/>
              <w:rPr>
                <w:rFonts w:ascii="宋体" w:hAnsi="宋体"/>
                <w:sz w:val="24"/>
                <w:lang w:val="zh-CN"/>
              </w:rPr>
            </w:pPr>
            <w:r>
              <w:rPr>
                <w:rFonts w:hint="eastAsia" w:ascii="宋体" w:hAnsi="宋体"/>
                <w:b/>
                <w:bCs/>
                <w:sz w:val="24"/>
                <w:lang w:val="zh-CN"/>
              </w:rPr>
              <w:t>喷淋头：</w:t>
            </w:r>
            <w:r>
              <w:rPr>
                <w:rFonts w:hint="eastAsia" w:ascii="宋体" w:hAnsi="宋体"/>
                <w:sz w:val="24"/>
                <w:lang w:val="zh-CN"/>
              </w:rPr>
              <w:t>软性橡胶，出水经缓压处理呈泡沫状水柱，防止冲伤眼睛；</w:t>
            </w:r>
          </w:p>
          <w:p w14:paraId="2139ACC9">
            <w:pPr>
              <w:spacing w:line="300" w:lineRule="exact"/>
              <w:jc w:val="left"/>
              <w:rPr>
                <w:rFonts w:ascii="宋体" w:hAnsi="宋体"/>
                <w:sz w:val="24"/>
                <w:lang w:val="zh-CN"/>
              </w:rPr>
            </w:pPr>
            <w:r>
              <w:rPr>
                <w:rFonts w:hint="eastAsia" w:ascii="宋体" w:hAnsi="宋体"/>
                <w:b/>
                <w:bCs/>
                <w:sz w:val="24"/>
                <w:lang w:val="zh-CN"/>
              </w:rPr>
              <w:t>防尘盖</w:t>
            </w:r>
            <w:r>
              <w:rPr>
                <w:rFonts w:hint="eastAsia" w:ascii="宋体" w:hAnsi="宋体"/>
                <w:sz w:val="24"/>
                <w:lang w:val="zh-CN"/>
              </w:rPr>
              <w:t>：PP材质，使用时自动被水冲开；</w:t>
            </w:r>
          </w:p>
          <w:p w14:paraId="3CA66F64">
            <w:pPr>
              <w:spacing w:line="300" w:lineRule="exact"/>
              <w:jc w:val="left"/>
              <w:rPr>
                <w:rFonts w:ascii="宋体" w:hAnsi="宋体"/>
                <w:sz w:val="24"/>
                <w:lang w:val="zh-CN"/>
              </w:rPr>
            </w:pPr>
            <w:r>
              <w:rPr>
                <w:rFonts w:hint="eastAsia" w:ascii="宋体" w:hAnsi="宋体"/>
                <w:b/>
                <w:bCs/>
                <w:sz w:val="24"/>
                <w:lang w:val="zh-CN"/>
              </w:rPr>
              <w:t>水流锁定开关：</w:t>
            </w:r>
            <w:r>
              <w:rPr>
                <w:rFonts w:hint="eastAsia" w:ascii="宋体" w:hAnsi="宋体"/>
                <w:sz w:val="24"/>
                <w:lang w:val="zh-CN"/>
              </w:rPr>
              <w:t>水流开启、水流锁定功能一次完成，方便使用。</w:t>
            </w:r>
          </w:p>
          <w:p w14:paraId="580C1709">
            <w:pPr>
              <w:spacing w:line="300" w:lineRule="exact"/>
              <w:jc w:val="left"/>
              <w:rPr>
                <w:rFonts w:ascii="宋体" w:hAnsi="宋体"/>
                <w:sz w:val="24"/>
                <w:lang w:val="zh-CN"/>
              </w:rPr>
            </w:pPr>
            <w:r>
              <w:rPr>
                <w:rFonts w:hint="eastAsia" w:ascii="宋体" w:hAnsi="宋体"/>
                <w:b/>
                <w:bCs/>
                <w:sz w:val="24"/>
                <w:lang w:val="zh-CN"/>
              </w:rPr>
              <w:t>控水阀</w:t>
            </w:r>
            <w:r>
              <w:rPr>
                <w:rFonts w:hint="eastAsia" w:ascii="宋体" w:hAnsi="宋体"/>
                <w:sz w:val="24"/>
                <w:lang w:val="zh-CN"/>
              </w:rPr>
              <w:t>：止逆阀，其阀门可自动关闭；</w:t>
            </w:r>
          </w:p>
          <w:p w14:paraId="62DC8797">
            <w:pPr>
              <w:spacing w:line="300" w:lineRule="exact"/>
              <w:jc w:val="left"/>
              <w:rPr>
                <w:rFonts w:ascii="宋体" w:hAnsi="宋体"/>
                <w:sz w:val="24"/>
                <w:lang w:val="zh-CN"/>
              </w:rPr>
            </w:pPr>
            <w:r>
              <w:rPr>
                <w:rFonts w:hint="eastAsia" w:ascii="宋体" w:hAnsi="宋体"/>
                <w:b/>
                <w:bCs/>
                <w:sz w:val="24"/>
                <w:lang w:val="zh-CN"/>
              </w:rPr>
              <w:t>供水软管</w:t>
            </w:r>
            <w:r>
              <w:rPr>
                <w:rFonts w:hint="eastAsia" w:ascii="宋体" w:hAnsi="宋体"/>
                <w:sz w:val="24"/>
                <w:lang w:val="zh-CN"/>
              </w:rPr>
              <w:t>：长度≤1.5米，软性PVC管外覆不锈钢</w:t>
            </w:r>
          </w:p>
          <w:p w14:paraId="414A8518">
            <w:pPr>
              <w:spacing w:line="300" w:lineRule="exact"/>
              <w:jc w:val="left"/>
              <w:rPr>
                <w:rFonts w:ascii="宋体" w:hAnsi="宋体"/>
                <w:sz w:val="24"/>
                <w:lang w:val="zh-CN"/>
              </w:rPr>
            </w:pPr>
            <w:r>
              <w:rPr>
                <w:rFonts w:hint="eastAsia" w:ascii="宋体" w:hAnsi="宋体"/>
                <w:sz w:val="24"/>
                <w:lang w:val="zh-CN"/>
              </w:rPr>
              <w:t>网；</w:t>
            </w:r>
          </w:p>
          <w:p w14:paraId="62E0D05E">
            <w:pPr>
              <w:spacing w:line="300" w:lineRule="exact"/>
              <w:jc w:val="left"/>
              <w:rPr>
                <w:rFonts w:ascii="宋体" w:hAnsi="宋体"/>
                <w:sz w:val="24"/>
                <w:lang w:val="zh-CN"/>
              </w:rPr>
            </w:pPr>
            <w:r>
              <w:rPr>
                <w:rFonts w:hint="eastAsia" w:ascii="宋体" w:hAnsi="宋体"/>
                <w:b/>
                <w:bCs/>
                <w:sz w:val="24"/>
                <w:lang w:val="zh-CN"/>
              </w:rPr>
              <w:t>最大耐水压:</w:t>
            </w:r>
            <w:r>
              <w:rPr>
                <w:rFonts w:hint="eastAsia" w:ascii="宋体" w:hAnsi="宋体"/>
                <w:sz w:val="24"/>
                <w:lang w:val="zh-CN"/>
              </w:rPr>
              <w:t>7Pa；</w:t>
            </w:r>
          </w:p>
          <w:p w14:paraId="65A6A081">
            <w:pPr>
              <w:spacing w:line="300" w:lineRule="exact"/>
              <w:jc w:val="left"/>
              <w:rPr>
                <w:rFonts w:ascii="宋体" w:hAnsi="宋体"/>
                <w:sz w:val="24"/>
                <w:lang w:val="zh-CN"/>
              </w:rPr>
            </w:pPr>
            <w:r>
              <w:rPr>
                <w:rFonts w:hint="eastAsia" w:ascii="宋体" w:hAnsi="宋体"/>
                <w:sz w:val="24"/>
                <w:lang w:val="zh-CN"/>
              </w:rPr>
              <w:t>7、滴水架：活动式PP材质滴水棒以卡榫与本体结合可由正面手动拆装；所有滴水棒均以35度～45度仰角安装，以方便器皿稳固吊放；单个滴水架应至少有30个滴水棒和安装孔位；</w:t>
            </w:r>
          </w:p>
          <w:p w14:paraId="44686674">
            <w:pPr>
              <w:spacing w:line="300" w:lineRule="exact"/>
              <w:jc w:val="left"/>
              <w:rPr>
                <w:rFonts w:ascii="宋体" w:hAnsi="宋体"/>
                <w:sz w:val="24"/>
                <w:lang w:val="zh-CN"/>
              </w:rPr>
            </w:pPr>
            <w:r>
              <w:rPr>
                <w:rFonts w:hint="eastAsia" w:ascii="宋体" w:hAnsi="宋体"/>
                <w:sz w:val="24"/>
                <w:lang w:val="zh-CN"/>
              </w:rPr>
              <w:t>8、试剂架：主框架立柱、挂片采用≤2.0mm厚铝合金，隔板采用≤10mm厚钢化玻璃，可任意调整高度；不锈钢管护拦，尺寸及高度可根据各实验室布局灵活组合定制；</w:t>
            </w:r>
          </w:p>
          <w:p w14:paraId="742F5810">
            <w:pPr>
              <w:spacing w:line="300" w:lineRule="exact"/>
              <w:jc w:val="left"/>
              <w:rPr>
                <w:rFonts w:ascii="宋体" w:hAnsi="宋体"/>
                <w:sz w:val="24"/>
                <w:lang w:val="zh-CN"/>
              </w:rPr>
            </w:pPr>
            <w:r>
              <w:rPr>
                <w:rFonts w:hint="eastAsia" w:ascii="宋体" w:hAnsi="宋体"/>
                <w:sz w:val="24"/>
                <w:lang w:val="zh-CN"/>
              </w:rPr>
              <w:t>9、万向抽气罩：含PP离心风机、转换接头；</w:t>
            </w:r>
          </w:p>
          <w:p w14:paraId="57525B8B">
            <w:pPr>
              <w:spacing w:line="300" w:lineRule="exact"/>
              <w:jc w:val="left"/>
              <w:rPr>
                <w:rFonts w:ascii="宋体" w:hAnsi="宋体"/>
                <w:sz w:val="24"/>
                <w:lang w:val="zh-CN"/>
              </w:rPr>
            </w:pPr>
            <w:r>
              <w:rPr>
                <w:rFonts w:hint="eastAsia" w:ascii="宋体" w:hAnsi="宋体"/>
                <w:sz w:val="24"/>
                <w:lang w:val="zh-CN"/>
              </w:rPr>
              <w:t>10、试剂柜：尺寸900*420*1800mm；采用18mm厚防潮三聚氰胺板，所有断面经优质2mm厚PVC防水封边处理。要求耐潮耐热、质地结实、表面平整、耐承重、抗冲击、有一定的强度。</w:t>
            </w:r>
          </w:p>
          <w:p w14:paraId="0D8EB58C">
            <w:pPr>
              <w:spacing w:line="300" w:lineRule="exact"/>
              <w:jc w:val="left"/>
              <w:rPr>
                <w:rFonts w:ascii="宋体" w:hAnsi="宋体"/>
                <w:sz w:val="24"/>
                <w:lang w:val="zh-CN"/>
              </w:rPr>
            </w:pPr>
            <w:r>
              <w:rPr>
                <w:rFonts w:hint="eastAsia" w:ascii="宋体" w:hAnsi="宋体"/>
                <w:sz w:val="24"/>
                <w:lang w:val="zh-CN"/>
              </w:rPr>
              <w:t>11、文件柜：尺寸970*420*1800mm；五门，含更衣柜；采用18mm厚防潮三聚氰胺板，所有断面经优质2mm厚PVC防水封边处理。要求耐潮耐热、质地结实、表面平整、耐承重、抗冲击、有一定的强度。</w:t>
            </w:r>
          </w:p>
          <w:p w14:paraId="36D76B5D">
            <w:pPr>
              <w:spacing w:line="300" w:lineRule="exact"/>
              <w:jc w:val="left"/>
              <w:rPr>
                <w:rFonts w:ascii="宋体" w:hAnsi="宋体"/>
                <w:sz w:val="24"/>
                <w:lang w:val="zh-CN"/>
              </w:rPr>
            </w:pPr>
            <w:r>
              <w:rPr>
                <w:rFonts w:hint="eastAsia" w:ascii="宋体" w:hAnsi="宋体"/>
                <w:sz w:val="24"/>
                <w:lang w:val="zh-CN"/>
              </w:rPr>
              <w:t>12、实验凳子：PU凳面，至少1个。</w:t>
            </w:r>
          </w:p>
        </w:tc>
        <w:tc>
          <w:tcPr>
            <w:tcW w:w="389" w:type="pct"/>
            <w:tcBorders>
              <w:top w:val="single" w:color="000000" w:sz="4" w:space="0"/>
              <w:left w:val="single" w:color="000000" w:sz="4" w:space="0"/>
              <w:bottom w:val="single" w:color="000000" w:sz="4" w:space="0"/>
              <w:right w:val="single" w:color="000000" w:sz="4" w:space="0"/>
            </w:tcBorders>
            <w:vAlign w:val="center"/>
          </w:tcPr>
          <w:p w14:paraId="013EAEC6">
            <w:pPr>
              <w:spacing w:line="460" w:lineRule="exact"/>
              <w:jc w:val="center"/>
              <w:rPr>
                <w:rFonts w:ascii="宋体" w:hAnsi="宋体"/>
                <w:sz w:val="24"/>
                <w:lang w:val="zh-CN"/>
              </w:rPr>
            </w:pPr>
            <w:r>
              <w:rPr>
                <w:rFonts w:hint="eastAsia" w:ascii="宋体" w:hAnsi="宋体"/>
                <w:sz w:val="24"/>
                <w:lang w:val="zh-CN"/>
              </w:rPr>
              <w:t>1套</w:t>
            </w:r>
          </w:p>
        </w:tc>
      </w:tr>
      <w:tr w14:paraId="02380EAB">
        <w:tblPrEx>
          <w:tblCellMar>
            <w:top w:w="0" w:type="dxa"/>
            <w:left w:w="0" w:type="dxa"/>
            <w:bottom w:w="0" w:type="dxa"/>
            <w:right w:w="0" w:type="dxa"/>
          </w:tblCellMar>
        </w:tblPrEx>
        <w:trPr>
          <w:jc w:val="center"/>
        </w:trPr>
        <w:tc>
          <w:tcPr>
            <w:tcW w:w="3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72FD89">
            <w:pPr>
              <w:spacing w:line="460" w:lineRule="exact"/>
              <w:jc w:val="center"/>
              <w:rPr>
                <w:rFonts w:ascii="宋体" w:hAnsi="宋体"/>
                <w:sz w:val="24"/>
                <w:lang w:val="zh-CN"/>
              </w:rPr>
            </w:pPr>
            <w:r>
              <w:rPr>
                <w:rFonts w:hint="eastAsia" w:ascii="宋体" w:hAnsi="宋体"/>
                <w:sz w:val="24"/>
                <w:lang w:val="zh-CN"/>
              </w:rPr>
              <w:t>3</w:t>
            </w:r>
          </w:p>
        </w:tc>
        <w:tc>
          <w:tcPr>
            <w:tcW w:w="137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542D1">
            <w:pPr>
              <w:spacing w:line="460" w:lineRule="exact"/>
              <w:jc w:val="center"/>
              <w:rPr>
                <w:rFonts w:ascii="宋体" w:hAnsi="宋体"/>
                <w:sz w:val="24"/>
                <w:lang w:val="zh-CN"/>
              </w:rPr>
            </w:pPr>
            <w:r>
              <w:rPr>
                <w:rFonts w:hint="eastAsia" w:ascii="宋体" w:hAnsi="宋体"/>
                <w:sz w:val="24"/>
                <w:lang w:val="zh-CN"/>
              </w:rPr>
              <w:t>快检室基础办公设备</w:t>
            </w:r>
          </w:p>
        </w:tc>
        <w:tc>
          <w:tcPr>
            <w:tcW w:w="2915" w:type="pct"/>
            <w:tcBorders>
              <w:top w:val="single" w:color="000000" w:sz="4" w:space="0"/>
              <w:left w:val="single" w:color="000000" w:sz="4" w:space="0"/>
              <w:bottom w:val="single" w:color="000000" w:sz="4" w:space="0"/>
              <w:right w:val="single" w:color="000000" w:sz="4" w:space="0"/>
            </w:tcBorders>
            <w:vAlign w:val="center"/>
          </w:tcPr>
          <w:tbl>
            <w:tblPr>
              <w:tblStyle w:val="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261"/>
              <w:gridCol w:w="3958"/>
            </w:tblGrid>
            <w:tr w14:paraId="3B437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5F9121CB">
                  <w:pPr>
                    <w:spacing w:line="300" w:lineRule="exact"/>
                    <w:jc w:val="left"/>
                    <w:rPr>
                      <w:rFonts w:ascii="宋体" w:hAnsi="宋体"/>
                      <w:sz w:val="24"/>
                      <w:lang w:val="zh-CN"/>
                    </w:rPr>
                  </w:pPr>
                  <w:r>
                    <w:rPr>
                      <w:rFonts w:hint="eastAsia" w:ascii="宋体" w:hAnsi="宋体"/>
                      <w:sz w:val="24"/>
                      <w:lang w:val="zh-CN"/>
                    </w:rPr>
                    <w:t>序号</w:t>
                  </w:r>
                </w:p>
              </w:tc>
              <w:tc>
                <w:tcPr>
                  <w:tcW w:w="1098" w:type="pct"/>
                  <w:vAlign w:val="center"/>
                </w:tcPr>
                <w:p w14:paraId="5DCA48BA">
                  <w:pPr>
                    <w:spacing w:line="300" w:lineRule="exact"/>
                    <w:jc w:val="left"/>
                    <w:rPr>
                      <w:rFonts w:ascii="宋体" w:hAnsi="宋体"/>
                      <w:sz w:val="24"/>
                      <w:lang w:val="zh-CN"/>
                    </w:rPr>
                  </w:pPr>
                  <w:r>
                    <w:rPr>
                      <w:rFonts w:hint="eastAsia" w:ascii="宋体" w:hAnsi="宋体"/>
                      <w:sz w:val="24"/>
                      <w:lang w:val="zh-CN"/>
                    </w:rPr>
                    <w:t>办公设备名称</w:t>
                  </w:r>
                </w:p>
              </w:tc>
              <w:tc>
                <w:tcPr>
                  <w:tcW w:w="3447" w:type="pct"/>
                  <w:vAlign w:val="center"/>
                </w:tcPr>
                <w:p w14:paraId="3454FB8F">
                  <w:pPr>
                    <w:spacing w:line="300" w:lineRule="exact"/>
                    <w:jc w:val="center"/>
                    <w:rPr>
                      <w:rFonts w:ascii="宋体" w:hAnsi="宋体"/>
                      <w:sz w:val="24"/>
                      <w:lang w:val="zh-CN"/>
                    </w:rPr>
                  </w:pPr>
                  <w:r>
                    <w:rPr>
                      <w:rFonts w:hint="eastAsia" w:ascii="宋体" w:hAnsi="宋体"/>
                      <w:sz w:val="24"/>
                      <w:lang w:val="zh-CN"/>
                    </w:rPr>
                    <w:t>要求</w:t>
                  </w:r>
                </w:p>
              </w:tc>
            </w:tr>
            <w:tr w14:paraId="3740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27396929">
                  <w:pPr>
                    <w:spacing w:line="300" w:lineRule="exact"/>
                    <w:jc w:val="center"/>
                    <w:rPr>
                      <w:rFonts w:ascii="宋体" w:hAnsi="宋体"/>
                      <w:sz w:val="24"/>
                      <w:lang w:val="zh-CN"/>
                    </w:rPr>
                  </w:pPr>
                  <w:r>
                    <w:rPr>
                      <w:rFonts w:hint="eastAsia" w:ascii="宋体" w:hAnsi="宋体"/>
                      <w:sz w:val="24"/>
                      <w:lang w:val="zh-CN"/>
                    </w:rPr>
                    <w:t>1</w:t>
                  </w:r>
                </w:p>
              </w:tc>
              <w:tc>
                <w:tcPr>
                  <w:tcW w:w="1098" w:type="pct"/>
                  <w:vAlign w:val="center"/>
                </w:tcPr>
                <w:p w14:paraId="6084016A">
                  <w:pPr>
                    <w:spacing w:line="300" w:lineRule="exact"/>
                    <w:jc w:val="center"/>
                    <w:rPr>
                      <w:rFonts w:ascii="宋体" w:hAnsi="宋体"/>
                      <w:sz w:val="24"/>
                      <w:lang w:val="zh-CN"/>
                    </w:rPr>
                  </w:pPr>
                  <w:r>
                    <w:rPr>
                      <w:rFonts w:hint="eastAsia" w:ascii="宋体" w:hAnsi="宋体"/>
                      <w:sz w:val="24"/>
                      <w:lang w:val="zh-CN"/>
                    </w:rPr>
                    <w:t>办公桌椅</w:t>
                  </w:r>
                </w:p>
              </w:tc>
              <w:tc>
                <w:tcPr>
                  <w:tcW w:w="3447" w:type="pct"/>
                  <w:vAlign w:val="center"/>
                </w:tcPr>
                <w:p w14:paraId="43373033">
                  <w:pPr>
                    <w:spacing w:line="300" w:lineRule="exact"/>
                    <w:jc w:val="left"/>
                    <w:rPr>
                      <w:rFonts w:ascii="宋体" w:hAnsi="宋体"/>
                      <w:sz w:val="24"/>
                      <w:lang w:val="zh-CN"/>
                    </w:rPr>
                  </w:pPr>
                  <w:r>
                    <w:rPr>
                      <w:rFonts w:hint="eastAsia" w:ascii="宋体" w:hAnsi="宋体"/>
                      <w:sz w:val="24"/>
                      <w:lang w:val="zh-CN"/>
                    </w:rPr>
                    <w:t>单人办公位，一桌一椅。办公桌尺寸≥1200mm×600mm×750mm；</w:t>
                  </w:r>
                </w:p>
              </w:tc>
            </w:tr>
            <w:tr w14:paraId="3974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52195167">
                  <w:pPr>
                    <w:spacing w:line="300" w:lineRule="exact"/>
                    <w:jc w:val="center"/>
                    <w:rPr>
                      <w:rFonts w:ascii="宋体" w:hAnsi="宋体"/>
                      <w:sz w:val="24"/>
                      <w:lang w:val="zh-CN"/>
                    </w:rPr>
                  </w:pPr>
                  <w:r>
                    <w:rPr>
                      <w:rFonts w:hint="eastAsia" w:ascii="宋体" w:hAnsi="宋体"/>
                      <w:sz w:val="24"/>
                      <w:lang w:val="zh-CN"/>
                    </w:rPr>
                    <w:t>2</w:t>
                  </w:r>
                </w:p>
              </w:tc>
              <w:tc>
                <w:tcPr>
                  <w:tcW w:w="1098" w:type="pct"/>
                  <w:vAlign w:val="center"/>
                </w:tcPr>
                <w:p w14:paraId="3054D02F">
                  <w:pPr>
                    <w:spacing w:line="300" w:lineRule="exact"/>
                    <w:jc w:val="center"/>
                    <w:rPr>
                      <w:rFonts w:ascii="宋体" w:hAnsi="宋体"/>
                      <w:sz w:val="24"/>
                      <w:lang w:val="zh-CN"/>
                    </w:rPr>
                  </w:pPr>
                  <w:r>
                    <w:rPr>
                      <w:rFonts w:hint="eastAsia" w:ascii="宋体" w:hAnsi="宋体"/>
                      <w:sz w:val="24"/>
                      <w:lang w:val="zh-CN"/>
                    </w:rPr>
                    <w:t>冰箱</w:t>
                  </w:r>
                </w:p>
              </w:tc>
              <w:tc>
                <w:tcPr>
                  <w:tcW w:w="3447" w:type="pct"/>
                  <w:vAlign w:val="center"/>
                </w:tcPr>
                <w:p w14:paraId="40C366E7">
                  <w:pPr>
                    <w:spacing w:line="300" w:lineRule="exact"/>
                    <w:jc w:val="left"/>
                    <w:rPr>
                      <w:rFonts w:ascii="宋体" w:hAnsi="宋体"/>
                      <w:sz w:val="24"/>
                      <w:lang w:val="zh-CN"/>
                    </w:rPr>
                  </w:pPr>
                  <w:r>
                    <w:rPr>
                      <w:rFonts w:hint="eastAsia" w:ascii="宋体" w:hAnsi="宋体"/>
                      <w:sz w:val="24"/>
                      <w:lang w:val="zh-CN"/>
                    </w:rPr>
                    <w:t>容量：≥180L；</w:t>
                  </w:r>
                </w:p>
                <w:p w14:paraId="234F7EDE">
                  <w:pPr>
                    <w:spacing w:line="300" w:lineRule="exact"/>
                    <w:jc w:val="left"/>
                    <w:rPr>
                      <w:rFonts w:ascii="宋体" w:hAnsi="宋体"/>
                      <w:sz w:val="24"/>
                      <w:lang w:val="zh-CN"/>
                    </w:rPr>
                  </w:pPr>
                  <w:r>
                    <w:rPr>
                      <w:rFonts w:hint="eastAsia" w:ascii="宋体" w:hAnsi="宋体"/>
                      <w:sz w:val="24"/>
                      <w:lang w:val="zh-CN"/>
                    </w:rPr>
                    <w:t>门款式：双门；</w:t>
                  </w:r>
                </w:p>
                <w:p w14:paraId="3BC2C10C">
                  <w:pPr>
                    <w:spacing w:line="300" w:lineRule="exact"/>
                    <w:jc w:val="left"/>
                    <w:rPr>
                      <w:rFonts w:ascii="宋体" w:hAnsi="宋体"/>
                      <w:sz w:val="24"/>
                      <w:lang w:val="zh-CN"/>
                    </w:rPr>
                  </w:pPr>
                  <w:r>
                    <w:rPr>
                      <w:rFonts w:hint="eastAsia" w:ascii="宋体" w:hAnsi="宋体"/>
                      <w:sz w:val="24"/>
                      <w:lang w:val="zh-CN"/>
                    </w:rPr>
                    <w:t>制冷方式：直冷；</w:t>
                  </w:r>
                </w:p>
              </w:tc>
            </w:tr>
            <w:tr w14:paraId="0336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4EB395BC">
                  <w:pPr>
                    <w:spacing w:line="300" w:lineRule="exact"/>
                    <w:jc w:val="center"/>
                    <w:rPr>
                      <w:rFonts w:ascii="宋体" w:hAnsi="宋体"/>
                      <w:sz w:val="24"/>
                      <w:lang w:val="zh-CN"/>
                    </w:rPr>
                  </w:pPr>
                  <w:r>
                    <w:rPr>
                      <w:rFonts w:hint="eastAsia" w:ascii="宋体" w:hAnsi="宋体"/>
                      <w:sz w:val="24"/>
                      <w:lang w:val="zh-CN"/>
                    </w:rPr>
                    <w:t>3</w:t>
                  </w:r>
                </w:p>
              </w:tc>
              <w:tc>
                <w:tcPr>
                  <w:tcW w:w="1098" w:type="pct"/>
                  <w:vAlign w:val="center"/>
                </w:tcPr>
                <w:p w14:paraId="5A842A22">
                  <w:pPr>
                    <w:spacing w:line="300" w:lineRule="exact"/>
                    <w:jc w:val="center"/>
                    <w:rPr>
                      <w:rFonts w:ascii="宋体" w:hAnsi="宋体"/>
                      <w:sz w:val="24"/>
                      <w:lang w:val="zh-CN"/>
                    </w:rPr>
                  </w:pPr>
                  <w:r>
                    <w:rPr>
                      <w:rFonts w:hint="eastAsia" w:ascii="宋体" w:hAnsi="宋体"/>
                      <w:sz w:val="24"/>
                      <w:lang w:val="zh-CN"/>
                    </w:rPr>
                    <w:t>空调</w:t>
                  </w:r>
                </w:p>
              </w:tc>
              <w:tc>
                <w:tcPr>
                  <w:tcW w:w="3447" w:type="pct"/>
                  <w:vAlign w:val="center"/>
                </w:tcPr>
                <w:p w14:paraId="1B513637">
                  <w:pPr>
                    <w:spacing w:line="300" w:lineRule="exact"/>
                    <w:jc w:val="left"/>
                    <w:rPr>
                      <w:rFonts w:ascii="宋体" w:hAnsi="宋体"/>
                      <w:sz w:val="24"/>
                      <w:lang w:val="zh-CN"/>
                    </w:rPr>
                  </w:pPr>
                  <w:r>
                    <w:rPr>
                      <w:rFonts w:hint="eastAsia" w:ascii="宋体" w:hAnsi="宋体"/>
                      <w:sz w:val="24"/>
                      <w:lang w:val="zh-CN"/>
                    </w:rPr>
                    <w:t>类型：壁挂；</w:t>
                  </w:r>
                </w:p>
                <w:p w14:paraId="1599A9FC">
                  <w:pPr>
                    <w:spacing w:line="300" w:lineRule="exact"/>
                    <w:jc w:val="left"/>
                    <w:rPr>
                      <w:rFonts w:ascii="宋体" w:hAnsi="宋体"/>
                      <w:sz w:val="24"/>
                      <w:lang w:val="zh-CN"/>
                    </w:rPr>
                  </w:pPr>
                  <w:r>
                    <w:rPr>
                      <w:rFonts w:hint="eastAsia" w:ascii="宋体" w:hAnsi="宋体"/>
                      <w:sz w:val="24"/>
                      <w:lang w:val="zh-CN"/>
                    </w:rPr>
                    <w:t>变频/定频：变频；</w:t>
                  </w:r>
                </w:p>
                <w:p w14:paraId="431ADF65">
                  <w:pPr>
                    <w:spacing w:line="300" w:lineRule="exact"/>
                    <w:jc w:val="left"/>
                    <w:rPr>
                      <w:rFonts w:ascii="宋体" w:hAnsi="宋体"/>
                      <w:sz w:val="24"/>
                      <w:lang w:val="zh-CN"/>
                    </w:rPr>
                  </w:pPr>
                  <w:r>
                    <w:rPr>
                      <w:rFonts w:hint="eastAsia" w:ascii="宋体" w:hAnsi="宋体"/>
                      <w:sz w:val="24"/>
                      <w:lang w:val="zh-CN"/>
                    </w:rPr>
                    <w:t>冷暖类型：冷暖；</w:t>
                  </w:r>
                </w:p>
                <w:p w14:paraId="78F8FE07">
                  <w:pPr>
                    <w:spacing w:line="300" w:lineRule="exact"/>
                    <w:jc w:val="left"/>
                    <w:rPr>
                      <w:rFonts w:ascii="宋体" w:hAnsi="宋体"/>
                      <w:sz w:val="24"/>
                      <w:lang w:val="zh-CN"/>
                    </w:rPr>
                  </w:pPr>
                  <w:r>
                    <w:rPr>
                      <w:rFonts w:hint="eastAsia" w:ascii="宋体" w:hAnsi="宋体"/>
                      <w:sz w:val="24"/>
                      <w:lang w:val="zh-CN"/>
                    </w:rPr>
                    <w:t>匹数：≥1.5匹；</w:t>
                  </w:r>
                </w:p>
              </w:tc>
            </w:tr>
            <w:tr w14:paraId="6A50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56F450FE">
                  <w:pPr>
                    <w:spacing w:line="300" w:lineRule="exact"/>
                    <w:jc w:val="center"/>
                    <w:rPr>
                      <w:rFonts w:ascii="宋体" w:hAnsi="宋体"/>
                      <w:sz w:val="24"/>
                      <w:lang w:val="zh-CN"/>
                    </w:rPr>
                  </w:pPr>
                  <w:r>
                    <w:rPr>
                      <w:rFonts w:hint="eastAsia" w:ascii="宋体" w:hAnsi="宋体"/>
                      <w:sz w:val="24"/>
                      <w:lang w:val="zh-CN"/>
                    </w:rPr>
                    <w:t>4</w:t>
                  </w:r>
                </w:p>
              </w:tc>
              <w:tc>
                <w:tcPr>
                  <w:tcW w:w="1098" w:type="pct"/>
                  <w:vAlign w:val="center"/>
                </w:tcPr>
                <w:p w14:paraId="75D3F4F1">
                  <w:pPr>
                    <w:spacing w:line="300" w:lineRule="exact"/>
                    <w:jc w:val="center"/>
                    <w:rPr>
                      <w:rFonts w:ascii="宋体" w:hAnsi="宋体"/>
                      <w:sz w:val="24"/>
                      <w:lang w:val="zh-CN"/>
                    </w:rPr>
                  </w:pPr>
                  <w:r>
                    <w:rPr>
                      <w:rFonts w:hint="eastAsia" w:ascii="宋体" w:hAnsi="宋体"/>
                      <w:sz w:val="24"/>
                      <w:lang w:val="zh-CN"/>
                    </w:rPr>
                    <w:t>电脑</w:t>
                  </w:r>
                </w:p>
              </w:tc>
              <w:tc>
                <w:tcPr>
                  <w:tcW w:w="3447" w:type="pct"/>
                  <w:vAlign w:val="center"/>
                </w:tcPr>
                <w:p w14:paraId="5F68BC22">
                  <w:pPr>
                    <w:spacing w:line="300" w:lineRule="exact"/>
                    <w:jc w:val="left"/>
                    <w:rPr>
                      <w:rFonts w:ascii="宋体" w:hAnsi="宋体"/>
                      <w:sz w:val="24"/>
                      <w:lang w:val="zh-CN"/>
                    </w:rPr>
                  </w:pPr>
                  <w:r>
                    <w:rPr>
                      <w:rFonts w:hint="eastAsia" w:ascii="宋体" w:hAnsi="宋体"/>
                      <w:sz w:val="24"/>
                      <w:lang w:val="zh-CN"/>
                    </w:rPr>
                    <w:t>屏幕尺寸：≥23.8英寸；</w:t>
                  </w:r>
                </w:p>
                <w:p w14:paraId="5006447C">
                  <w:pPr>
                    <w:spacing w:line="300" w:lineRule="exact"/>
                    <w:jc w:val="left"/>
                    <w:rPr>
                      <w:rFonts w:ascii="宋体" w:hAnsi="宋体"/>
                      <w:sz w:val="24"/>
                      <w:lang w:val="zh-CN"/>
                    </w:rPr>
                  </w:pPr>
                  <w:r>
                    <w:rPr>
                      <w:rFonts w:hint="eastAsia" w:ascii="宋体" w:hAnsi="宋体"/>
                      <w:sz w:val="24"/>
                      <w:lang w:val="zh-CN"/>
                    </w:rPr>
                    <w:t>内存：至少8G；</w:t>
                  </w:r>
                </w:p>
                <w:p w14:paraId="1B7E249D">
                  <w:pPr>
                    <w:spacing w:line="300" w:lineRule="exact"/>
                    <w:jc w:val="left"/>
                    <w:rPr>
                      <w:rFonts w:ascii="宋体" w:hAnsi="宋体"/>
                      <w:sz w:val="24"/>
                      <w:lang w:val="zh-CN"/>
                    </w:rPr>
                  </w:pPr>
                  <w:r>
                    <w:rPr>
                      <w:rFonts w:hint="eastAsia" w:ascii="宋体" w:hAnsi="宋体"/>
                      <w:sz w:val="24"/>
                      <w:lang w:val="zh-CN"/>
                    </w:rPr>
                    <w:t>硬盘容量：至少512G；</w:t>
                  </w:r>
                </w:p>
                <w:p w14:paraId="514F4D29">
                  <w:pPr>
                    <w:spacing w:line="300" w:lineRule="exact"/>
                    <w:jc w:val="left"/>
                    <w:rPr>
                      <w:rFonts w:ascii="宋体" w:hAnsi="宋体"/>
                      <w:sz w:val="24"/>
                      <w:lang w:val="zh-CN"/>
                    </w:rPr>
                  </w:pPr>
                  <w:r>
                    <w:rPr>
                      <w:rFonts w:hint="eastAsia" w:ascii="宋体" w:hAnsi="宋体"/>
                      <w:sz w:val="24"/>
                      <w:lang w:val="zh-CN"/>
                    </w:rPr>
                    <w:t>屏幕分辨率：≥1920*1080dpi；</w:t>
                  </w:r>
                </w:p>
              </w:tc>
            </w:tr>
            <w:tr w14:paraId="5541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Align w:val="center"/>
                </w:tcPr>
                <w:p w14:paraId="1BD976B3">
                  <w:pPr>
                    <w:spacing w:line="300" w:lineRule="exact"/>
                    <w:jc w:val="center"/>
                    <w:rPr>
                      <w:rFonts w:ascii="宋体" w:hAnsi="宋体"/>
                      <w:sz w:val="24"/>
                      <w:lang w:val="zh-CN"/>
                    </w:rPr>
                  </w:pPr>
                  <w:r>
                    <w:rPr>
                      <w:rFonts w:hint="eastAsia" w:ascii="宋体" w:hAnsi="宋体"/>
                      <w:sz w:val="24"/>
                      <w:lang w:val="zh-CN"/>
                    </w:rPr>
                    <w:t>5</w:t>
                  </w:r>
                </w:p>
              </w:tc>
              <w:tc>
                <w:tcPr>
                  <w:tcW w:w="1098" w:type="pct"/>
                  <w:vAlign w:val="center"/>
                </w:tcPr>
                <w:p w14:paraId="00AB7883">
                  <w:pPr>
                    <w:spacing w:line="300" w:lineRule="exact"/>
                    <w:jc w:val="center"/>
                    <w:rPr>
                      <w:rFonts w:ascii="宋体" w:hAnsi="宋体"/>
                      <w:sz w:val="24"/>
                      <w:lang w:val="zh-CN"/>
                    </w:rPr>
                  </w:pPr>
                  <w:r>
                    <w:rPr>
                      <w:rFonts w:hint="eastAsia" w:ascii="宋体" w:hAnsi="宋体"/>
                      <w:sz w:val="24"/>
                      <w:lang w:val="zh-CN"/>
                    </w:rPr>
                    <w:t>打印机</w:t>
                  </w:r>
                </w:p>
              </w:tc>
              <w:tc>
                <w:tcPr>
                  <w:tcW w:w="3447" w:type="pct"/>
                  <w:vAlign w:val="center"/>
                </w:tcPr>
                <w:p w14:paraId="4D3AF801">
                  <w:pPr>
                    <w:spacing w:line="300" w:lineRule="exact"/>
                    <w:jc w:val="left"/>
                    <w:rPr>
                      <w:rFonts w:ascii="宋体" w:hAnsi="宋体"/>
                      <w:sz w:val="24"/>
                      <w:lang w:val="zh-CN"/>
                    </w:rPr>
                  </w:pPr>
                  <w:r>
                    <w:rPr>
                      <w:rFonts w:hint="eastAsia" w:ascii="宋体" w:hAnsi="宋体"/>
                      <w:sz w:val="24"/>
                      <w:lang w:val="zh-CN"/>
                    </w:rPr>
                    <w:t>类型：黑白；</w:t>
                  </w:r>
                </w:p>
                <w:p w14:paraId="6A4923F7">
                  <w:pPr>
                    <w:spacing w:line="300" w:lineRule="exact"/>
                    <w:jc w:val="left"/>
                    <w:rPr>
                      <w:rFonts w:ascii="宋体" w:hAnsi="宋体"/>
                      <w:sz w:val="24"/>
                      <w:lang w:val="zh-CN"/>
                    </w:rPr>
                  </w:pPr>
                  <w:r>
                    <w:rPr>
                      <w:rFonts w:hint="eastAsia" w:ascii="宋体" w:hAnsi="宋体"/>
                      <w:sz w:val="24"/>
                      <w:lang w:val="zh-CN"/>
                    </w:rPr>
                    <w:t>功能：打印；</w:t>
                  </w:r>
                </w:p>
                <w:p w14:paraId="12F5ABBA">
                  <w:pPr>
                    <w:spacing w:line="300" w:lineRule="exact"/>
                    <w:jc w:val="left"/>
                    <w:rPr>
                      <w:rFonts w:ascii="宋体" w:hAnsi="宋体"/>
                      <w:sz w:val="24"/>
                      <w:lang w:val="zh-CN"/>
                    </w:rPr>
                  </w:pPr>
                  <w:r>
                    <w:rPr>
                      <w:rFonts w:hint="eastAsia" w:ascii="宋体" w:hAnsi="宋体"/>
                      <w:sz w:val="24"/>
                      <w:lang w:val="zh-CN"/>
                    </w:rPr>
                    <w:t>打印速度：0-24页/分；</w:t>
                  </w:r>
                </w:p>
                <w:p w14:paraId="75C9AEBF">
                  <w:pPr>
                    <w:spacing w:line="300" w:lineRule="exact"/>
                    <w:jc w:val="left"/>
                    <w:rPr>
                      <w:rFonts w:ascii="宋体" w:hAnsi="宋体"/>
                      <w:sz w:val="24"/>
                      <w:lang w:val="zh-CN"/>
                    </w:rPr>
                  </w:pPr>
                  <w:r>
                    <w:rPr>
                      <w:rFonts w:hint="eastAsia" w:ascii="宋体" w:hAnsi="宋体"/>
                      <w:sz w:val="24"/>
                      <w:lang w:val="zh-CN"/>
                    </w:rPr>
                    <w:t>最大支持幅面：A4；</w:t>
                  </w:r>
                </w:p>
              </w:tc>
            </w:tr>
            <w:tr w14:paraId="53C8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453" w:type="pct"/>
                  <w:vAlign w:val="center"/>
                </w:tcPr>
                <w:p w14:paraId="587E0141">
                  <w:pPr>
                    <w:spacing w:line="300" w:lineRule="exact"/>
                    <w:jc w:val="center"/>
                    <w:rPr>
                      <w:rFonts w:ascii="宋体" w:hAnsi="宋体"/>
                      <w:sz w:val="24"/>
                      <w:lang w:val="zh-CN"/>
                    </w:rPr>
                  </w:pPr>
                  <w:r>
                    <w:rPr>
                      <w:rFonts w:hint="eastAsia" w:ascii="宋体" w:hAnsi="宋体"/>
                      <w:sz w:val="24"/>
                      <w:lang w:val="zh-CN"/>
                    </w:rPr>
                    <w:t>6</w:t>
                  </w:r>
                </w:p>
              </w:tc>
              <w:tc>
                <w:tcPr>
                  <w:tcW w:w="1098" w:type="pct"/>
                  <w:vAlign w:val="center"/>
                </w:tcPr>
                <w:p w14:paraId="75030CA7">
                  <w:pPr>
                    <w:spacing w:line="300" w:lineRule="exact"/>
                    <w:jc w:val="center"/>
                    <w:rPr>
                      <w:rFonts w:ascii="宋体" w:hAnsi="宋体"/>
                      <w:sz w:val="24"/>
                      <w:lang w:val="zh-CN"/>
                    </w:rPr>
                  </w:pPr>
                  <w:r>
                    <w:rPr>
                      <w:rFonts w:hint="eastAsia" w:ascii="宋体" w:hAnsi="宋体"/>
                      <w:sz w:val="24"/>
                      <w:lang w:val="zh-CN"/>
                    </w:rPr>
                    <w:t>温湿度计</w:t>
                  </w:r>
                </w:p>
              </w:tc>
              <w:tc>
                <w:tcPr>
                  <w:tcW w:w="3447" w:type="pct"/>
                  <w:vAlign w:val="center"/>
                </w:tcPr>
                <w:p w14:paraId="11094E0B">
                  <w:pPr>
                    <w:spacing w:line="300" w:lineRule="exact"/>
                    <w:jc w:val="left"/>
                    <w:rPr>
                      <w:rFonts w:ascii="宋体" w:hAnsi="宋体"/>
                      <w:sz w:val="24"/>
                      <w:lang w:val="zh-CN"/>
                    </w:rPr>
                  </w:pPr>
                  <w:r>
                    <w:rPr>
                      <w:rFonts w:hint="eastAsia" w:ascii="宋体" w:hAnsi="宋体"/>
                      <w:sz w:val="24"/>
                      <w:lang w:val="zh-CN"/>
                    </w:rPr>
                    <w:t>产品尺寸：≥99*88*27mm；</w:t>
                  </w:r>
                </w:p>
                <w:p w14:paraId="2D03BAB6">
                  <w:pPr>
                    <w:spacing w:line="300" w:lineRule="exact"/>
                    <w:jc w:val="left"/>
                    <w:rPr>
                      <w:rFonts w:ascii="宋体" w:hAnsi="宋体"/>
                      <w:sz w:val="24"/>
                      <w:lang w:val="zh-CN"/>
                    </w:rPr>
                  </w:pPr>
                  <w:r>
                    <w:rPr>
                      <w:rFonts w:hint="eastAsia" w:ascii="宋体" w:hAnsi="宋体"/>
                      <w:sz w:val="24"/>
                      <w:lang w:val="zh-CN"/>
                    </w:rPr>
                    <w:t>使用方式：悬挂或立放；</w:t>
                  </w:r>
                </w:p>
                <w:p w14:paraId="031EB33C">
                  <w:pPr>
                    <w:spacing w:line="300" w:lineRule="exact"/>
                    <w:jc w:val="left"/>
                    <w:rPr>
                      <w:rFonts w:ascii="宋体" w:hAnsi="宋体"/>
                      <w:sz w:val="24"/>
                      <w:lang w:val="zh-CN"/>
                    </w:rPr>
                  </w:pPr>
                  <w:r>
                    <w:rPr>
                      <w:rFonts w:hint="eastAsia" w:ascii="宋体" w:hAnsi="宋体"/>
                      <w:sz w:val="24"/>
                      <w:lang w:val="zh-CN"/>
                    </w:rPr>
                    <w:t>温度范围：-30～50℃；</w:t>
                  </w:r>
                </w:p>
                <w:p w14:paraId="4BCEB37A">
                  <w:pPr>
                    <w:spacing w:line="300" w:lineRule="exact"/>
                    <w:jc w:val="left"/>
                    <w:rPr>
                      <w:rFonts w:ascii="宋体" w:hAnsi="宋体"/>
                      <w:sz w:val="24"/>
                      <w:lang w:val="zh-CN"/>
                    </w:rPr>
                  </w:pPr>
                  <w:r>
                    <w:rPr>
                      <w:rFonts w:hint="eastAsia" w:ascii="宋体" w:hAnsi="宋体"/>
                      <w:sz w:val="24"/>
                      <w:lang w:val="zh-CN"/>
                    </w:rPr>
                    <w:t>湿度范围：20～100%RH；</w:t>
                  </w:r>
                </w:p>
              </w:tc>
            </w:tr>
          </w:tbl>
          <w:p w14:paraId="41CE87D6">
            <w:pPr>
              <w:spacing w:line="460" w:lineRule="exact"/>
              <w:ind w:firstLine="480"/>
              <w:rPr>
                <w:rFonts w:ascii="宋体" w:hAnsi="宋体"/>
                <w:sz w:val="24"/>
                <w:lang w:val="zh-CN"/>
              </w:rPr>
            </w:pPr>
          </w:p>
        </w:tc>
        <w:tc>
          <w:tcPr>
            <w:tcW w:w="389" w:type="pct"/>
            <w:tcBorders>
              <w:top w:val="single" w:color="000000" w:sz="4" w:space="0"/>
              <w:left w:val="single" w:color="000000" w:sz="4" w:space="0"/>
              <w:bottom w:val="single" w:color="000000" w:sz="4" w:space="0"/>
              <w:right w:val="single" w:color="000000" w:sz="4" w:space="0"/>
            </w:tcBorders>
            <w:vAlign w:val="center"/>
          </w:tcPr>
          <w:p w14:paraId="2B3DF04A">
            <w:pPr>
              <w:spacing w:line="460" w:lineRule="exact"/>
              <w:jc w:val="center"/>
              <w:rPr>
                <w:rFonts w:ascii="宋体" w:hAnsi="宋体"/>
                <w:sz w:val="24"/>
                <w:lang w:val="zh-CN"/>
              </w:rPr>
            </w:pPr>
            <w:r>
              <w:rPr>
                <w:rFonts w:hint="eastAsia" w:ascii="宋体" w:hAnsi="宋体"/>
                <w:sz w:val="24"/>
                <w:lang w:val="zh-CN"/>
              </w:rPr>
              <w:t>1套</w:t>
            </w:r>
          </w:p>
        </w:tc>
      </w:tr>
    </w:tbl>
    <w:p w14:paraId="3ACC237B">
      <w:pPr>
        <w:spacing w:line="460" w:lineRule="exact"/>
        <w:rPr>
          <w:rFonts w:ascii="宋体" w:hAnsi="宋体"/>
          <w:sz w:val="24"/>
        </w:rPr>
      </w:pPr>
      <w:r>
        <w:rPr>
          <w:rFonts w:hint="eastAsia" w:ascii="宋体" w:hAnsi="宋体"/>
          <w:b/>
          <w:bCs/>
          <w:sz w:val="24"/>
          <w:lang w:val="zh-CN"/>
        </w:rPr>
        <w:t>（</w:t>
      </w:r>
      <w:r>
        <w:rPr>
          <w:rFonts w:hint="eastAsia" w:ascii="宋体" w:hAnsi="宋体"/>
          <w:b/>
          <w:bCs/>
          <w:sz w:val="24"/>
        </w:rPr>
        <w:t>2</w:t>
      </w:r>
      <w:r>
        <w:rPr>
          <w:rFonts w:hint="eastAsia" w:ascii="宋体" w:hAnsi="宋体"/>
          <w:b/>
          <w:bCs/>
          <w:sz w:val="24"/>
          <w:lang w:val="zh-CN"/>
        </w:rPr>
        <w:t>）快检中心设备配置</w:t>
      </w:r>
    </w:p>
    <w:p w14:paraId="4479FD5A">
      <w:pPr>
        <w:spacing w:line="460" w:lineRule="exact"/>
        <w:ind w:firstLine="480"/>
        <w:rPr>
          <w:rFonts w:ascii="宋体" w:hAnsi="宋体"/>
          <w:sz w:val="24"/>
        </w:rPr>
      </w:pPr>
      <w:r>
        <w:rPr>
          <w:rFonts w:hint="eastAsia" w:ascii="宋体" w:hAnsi="宋体"/>
          <w:sz w:val="24"/>
        </w:rPr>
        <w:t>中标（成交）供应商自带满足检测要求的检测仪器及前处理设备，服务期满中标（成交）供应商带走自己的检测仪器和前处理设备(自带设备费用不另行支付)。配置明细如下(包含以下快检设备不限于仅提供以下设备):</w:t>
      </w:r>
    </w:p>
    <w:p w14:paraId="16F92D1B">
      <w:pPr>
        <w:pStyle w:val="27"/>
        <w:jc w:val="left"/>
        <w:rPr>
          <w:rFonts w:asciiTheme="minorEastAsia" w:hAnsiTheme="minorEastAsia" w:eastAsiaTheme="minorEastAsia"/>
          <w:sz w:val="28"/>
          <w:szCs w:val="28"/>
        </w:rPr>
      </w:pPr>
    </w:p>
    <w:tbl>
      <w:tblPr>
        <w:tblStyle w:val="17"/>
        <w:tblW w:w="4999" w:type="pct"/>
        <w:jc w:val="center"/>
        <w:tblLayout w:type="autofit"/>
        <w:tblCellMar>
          <w:top w:w="0" w:type="dxa"/>
          <w:left w:w="108" w:type="dxa"/>
          <w:bottom w:w="0" w:type="dxa"/>
          <w:right w:w="108" w:type="dxa"/>
        </w:tblCellMar>
      </w:tblPr>
      <w:tblGrid>
        <w:gridCol w:w="792"/>
        <w:gridCol w:w="1746"/>
        <w:gridCol w:w="6466"/>
        <w:gridCol w:w="848"/>
      </w:tblGrid>
      <w:tr w14:paraId="00E7619E">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70441C41">
            <w:pPr>
              <w:spacing w:line="300" w:lineRule="exact"/>
              <w:jc w:val="center"/>
              <w:rPr>
                <w:rFonts w:ascii="宋体" w:hAnsi="宋体"/>
                <w:b/>
                <w:bCs/>
                <w:sz w:val="24"/>
                <w:lang w:val="zh-CN"/>
              </w:rPr>
            </w:pPr>
            <w:r>
              <w:rPr>
                <w:rFonts w:hint="eastAsia" w:ascii="宋体" w:hAnsi="宋体"/>
                <w:b/>
                <w:bCs/>
                <w:sz w:val="24"/>
                <w:lang w:val="zh-CN"/>
              </w:rPr>
              <w:t>序号</w:t>
            </w:r>
          </w:p>
        </w:tc>
        <w:tc>
          <w:tcPr>
            <w:tcW w:w="886" w:type="pct"/>
            <w:tcBorders>
              <w:top w:val="single" w:color="000000" w:sz="4" w:space="0"/>
              <w:left w:val="single" w:color="000000" w:sz="4" w:space="0"/>
              <w:bottom w:val="single" w:color="000000" w:sz="4" w:space="0"/>
              <w:right w:val="single" w:color="000000" w:sz="4" w:space="0"/>
            </w:tcBorders>
            <w:vAlign w:val="center"/>
          </w:tcPr>
          <w:p w14:paraId="7FFCD355">
            <w:pPr>
              <w:spacing w:line="300" w:lineRule="exact"/>
              <w:jc w:val="center"/>
              <w:rPr>
                <w:rFonts w:ascii="宋体" w:hAnsi="宋体"/>
                <w:b/>
                <w:bCs/>
                <w:sz w:val="24"/>
                <w:lang w:val="zh-CN"/>
              </w:rPr>
            </w:pPr>
            <w:r>
              <w:rPr>
                <w:rFonts w:hint="eastAsia" w:ascii="宋体" w:hAnsi="宋体"/>
                <w:b/>
                <w:bCs/>
                <w:sz w:val="24"/>
                <w:lang w:val="zh-CN"/>
              </w:rPr>
              <w:t>设备名称</w:t>
            </w:r>
          </w:p>
        </w:tc>
        <w:tc>
          <w:tcPr>
            <w:tcW w:w="3280" w:type="pct"/>
            <w:tcBorders>
              <w:top w:val="single" w:color="000000" w:sz="4" w:space="0"/>
              <w:left w:val="single" w:color="000000" w:sz="4" w:space="0"/>
              <w:bottom w:val="single" w:color="000000" w:sz="4" w:space="0"/>
              <w:right w:val="single" w:color="000000" w:sz="4" w:space="0"/>
            </w:tcBorders>
            <w:vAlign w:val="center"/>
          </w:tcPr>
          <w:p w14:paraId="21446F79">
            <w:pPr>
              <w:spacing w:line="300" w:lineRule="exact"/>
              <w:jc w:val="center"/>
              <w:rPr>
                <w:rFonts w:ascii="宋体" w:hAnsi="宋体"/>
                <w:b/>
                <w:bCs/>
                <w:sz w:val="24"/>
                <w:lang w:val="zh-CN"/>
              </w:rPr>
            </w:pPr>
            <w:r>
              <w:rPr>
                <w:rFonts w:hint="eastAsia" w:ascii="宋体" w:hAnsi="宋体"/>
                <w:b/>
                <w:bCs/>
                <w:sz w:val="24"/>
                <w:lang w:val="zh-CN"/>
              </w:rPr>
              <w:t>用途及</w:t>
            </w:r>
            <w:r>
              <w:rPr>
                <w:rFonts w:hint="eastAsia" w:ascii="宋体" w:hAnsi="宋体"/>
                <w:b/>
                <w:bCs/>
                <w:sz w:val="24"/>
              </w:rPr>
              <w:t>设备配置</w:t>
            </w:r>
            <w:r>
              <w:rPr>
                <w:rFonts w:hint="eastAsia" w:ascii="宋体" w:hAnsi="宋体"/>
                <w:b/>
                <w:bCs/>
                <w:sz w:val="24"/>
                <w:lang w:val="zh-CN"/>
              </w:rPr>
              <w:t>要求</w:t>
            </w:r>
          </w:p>
        </w:tc>
        <w:tc>
          <w:tcPr>
            <w:tcW w:w="430" w:type="pct"/>
            <w:tcBorders>
              <w:top w:val="single" w:color="000000" w:sz="4" w:space="0"/>
              <w:left w:val="single" w:color="000000" w:sz="4" w:space="0"/>
              <w:bottom w:val="single" w:color="000000" w:sz="4" w:space="0"/>
              <w:right w:val="single" w:color="000000" w:sz="4" w:space="0"/>
            </w:tcBorders>
            <w:vAlign w:val="center"/>
          </w:tcPr>
          <w:p w14:paraId="597537B8">
            <w:pPr>
              <w:spacing w:line="300" w:lineRule="exact"/>
              <w:jc w:val="center"/>
              <w:rPr>
                <w:rFonts w:ascii="宋体" w:hAnsi="宋体"/>
                <w:b/>
                <w:bCs/>
                <w:sz w:val="24"/>
                <w:lang w:val="zh-CN"/>
              </w:rPr>
            </w:pPr>
            <w:r>
              <w:rPr>
                <w:rFonts w:hint="eastAsia" w:ascii="宋体" w:hAnsi="宋体"/>
                <w:b/>
                <w:bCs/>
                <w:sz w:val="24"/>
                <w:lang w:val="zh-CN"/>
              </w:rPr>
              <w:t>数量</w:t>
            </w:r>
          </w:p>
        </w:tc>
      </w:tr>
      <w:tr w14:paraId="0B6793DF">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4798A0B9">
            <w:pPr>
              <w:spacing w:line="300" w:lineRule="exact"/>
              <w:jc w:val="center"/>
              <w:rPr>
                <w:rFonts w:ascii="宋体" w:hAnsi="宋体"/>
                <w:sz w:val="24"/>
                <w:lang w:val="zh-CN"/>
              </w:rPr>
            </w:pPr>
            <w:r>
              <w:rPr>
                <w:rFonts w:hint="eastAsia" w:ascii="宋体" w:hAnsi="宋体"/>
                <w:sz w:val="24"/>
                <w:lang w:val="zh-CN"/>
              </w:rPr>
              <w:t>1</w:t>
            </w:r>
          </w:p>
        </w:tc>
        <w:tc>
          <w:tcPr>
            <w:tcW w:w="886" w:type="pct"/>
            <w:tcBorders>
              <w:top w:val="single" w:color="000000" w:sz="4" w:space="0"/>
              <w:left w:val="single" w:color="000000" w:sz="4" w:space="0"/>
              <w:bottom w:val="single" w:color="000000" w:sz="4" w:space="0"/>
              <w:right w:val="single" w:color="000000" w:sz="4" w:space="0"/>
            </w:tcBorders>
            <w:vAlign w:val="center"/>
          </w:tcPr>
          <w:p w14:paraId="455AA722">
            <w:pPr>
              <w:spacing w:line="300" w:lineRule="exact"/>
              <w:jc w:val="center"/>
              <w:rPr>
                <w:rFonts w:ascii="宋体" w:hAnsi="宋体"/>
                <w:sz w:val="24"/>
                <w:lang w:val="zh-CN"/>
              </w:rPr>
            </w:pPr>
            <w:r>
              <w:rPr>
                <w:rFonts w:hint="eastAsia" w:ascii="宋体" w:hAnsi="宋体"/>
                <w:sz w:val="24"/>
                <w:lang w:val="zh-CN"/>
              </w:rPr>
              <w:t>多功能食品安全分析仪</w:t>
            </w:r>
          </w:p>
        </w:tc>
        <w:tc>
          <w:tcPr>
            <w:tcW w:w="3280" w:type="pct"/>
            <w:tcBorders>
              <w:top w:val="single" w:color="000000" w:sz="4" w:space="0"/>
              <w:left w:val="single" w:color="000000" w:sz="4" w:space="0"/>
              <w:bottom w:val="single" w:color="000000" w:sz="4" w:space="0"/>
              <w:right w:val="single" w:color="000000" w:sz="4" w:space="0"/>
            </w:tcBorders>
            <w:vAlign w:val="center"/>
          </w:tcPr>
          <w:p w14:paraId="41CAA50F">
            <w:pPr>
              <w:spacing w:line="300" w:lineRule="exact"/>
              <w:jc w:val="center"/>
              <w:rPr>
                <w:rFonts w:ascii="宋体" w:hAnsi="宋体"/>
                <w:sz w:val="24"/>
                <w:lang w:val="zh-CN"/>
              </w:rPr>
            </w:pPr>
            <w:r>
              <w:rPr>
                <w:rFonts w:hint="eastAsia" w:ascii="宋体" w:hAnsi="宋体"/>
                <w:sz w:val="24"/>
                <w:lang w:val="zh-CN"/>
              </w:rPr>
              <w:t>可检测非法添加、农兽药残留、抗生素、真菌毒素等检测</w:t>
            </w:r>
          </w:p>
        </w:tc>
        <w:tc>
          <w:tcPr>
            <w:tcW w:w="430" w:type="pct"/>
            <w:tcBorders>
              <w:top w:val="single" w:color="000000" w:sz="4" w:space="0"/>
              <w:left w:val="single" w:color="000000" w:sz="4" w:space="0"/>
              <w:bottom w:val="single" w:color="000000" w:sz="4" w:space="0"/>
              <w:right w:val="single" w:color="000000" w:sz="4" w:space="0"/>
            </w:tcBorders>
            <w:vAlign w:val="center"/>
          </w:tcPr>
          <w:p w14:paraId="162B04E5">
            <w:pPr>
              <w:spacing w:line="300" w:lineRule="exact"/>
              <w:jc w:val="center"/>
              <w:rPr>
                <w:rFonts w:ascii="宋体" w:hAnsi="宋体"/>
                <w:sz w:val="24"/>
                <w:lang w:val="zh-CN"/>
              </w:rPr>
            </w:pPr>
            <w:r>
              <w:rPr>
                <w:rFonts w:hint="eastAsia" w:ascii="宋体" w:hAnsi="宋体"/>
                <w:sz w:val="24"/>
              </w:rPr>
              <w:t>2</w:t>
            </w:r>
            <w:r>
              <w:rPr>
                <w:rFonts w:hint="eastAsia" w:ascii="宋体" w:hAnsi="宋体"/>
                <w:sz w:val="24"/>
                <w:lang w:val="zh-CN"/>
              </w:rPr>
              <w:t>台</w:t>
            </w:r>
          </w:p>
        </w:tc>
      </w:tr>
      <w:tr w14:paraId="00FF1E5B">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1FA07ADA">
            <w:pPr>
              <w:spacing w:line="300" w:lineRule="exact"/>
              <w:jc w:val="center"/>
              <w:rPr>
                <w:rFonts w:ascii="宋体" w:hAnsi="宋体"/>
                <w:sz w:val="24"/>
                <w:lang w:val="zh-CN"/>
              </w:rPr>
            </w:pPr>
            <w:r>
              <w:rPr>
                <w:rFonts w:hint="eastAsia" w:ascii="宋体" w:hAnsi="宋体"/>
                <w:sz w:val="24"/>
                <w:lang w:val="zh-CN"/>
              </w:rPr>
              <w:t>2</w:t>
            </w:r>
          </w:p>
        </w:tc>
        <w:tc>
          <w:tcPr>
            <w:tcW w:w="886" w:type="pct"/>
            <w:tcBorders>
              <w:top w:val="single" w:color="000000" w:sz="4" w:space="0"/>
              <w:left w:val="single" w:color="000000" w:sz="4" w:space="0"/>
              <w:bottom w:val="single" w:color="000000" w:sz="4" w:space="0"/>
              <w:right w:val="single" w:color="000000" w:sz="4" w:space="0"/>
            </w:tcBorders>
            <w:vAlign w:val="center"/>
          </w:tcPr>
          <w:p w14:paraId="6A95B072">
            <w:pPr>
              <w:spacing w:line="300" w:lineRule="exact"/>
              <w:jc w:val="center"/>
              <w:rPr>
                <w:rFonts w:ascii="宋体" w:hAnsi="宋体"/>
                <w:sz w:val="24"/>
                <w:lang w:val="zh-CN"/>
              </w:rPr>
            </w:pPr>
            <w:r>
              <w:rPr>
                <w:rFonts w:hint="eastAsia" w:ascii="宋体" w:hAnsi="宋体"/>
                <w:sz w:val="24"/>
                <w:lang w:val="zh-CN"/>
              </w:rPr>
              <w:t>台式离心机</w:t>
            </w:r>
          </w:p>
        </w:tc>
        <w:tc>
          <w:tcPr>
            <w:tcW w:w="3280" w:type="pct"/>
            <w:tcBorders>
              <w:top w:val="single" w:color="000000" w:sz="4" w:space="0"/>
              <w:left w:val="single" w:color="000000" w:sz="4" w:space="0"/>
              <w:bottom w:val="single" w:color="000000" w:sz="4" w:space="0"/>
              <w:right w:val="single" w:color="000000" w:sz="4" w:space="0"/>
            </w:tcBorders>
            <w:vAlign w:val="center"/>
          </w:tcPr>
          <w:p w14:paraId="0B9EE88C">
            <w:pPr>
              <w:spacing w:line="300" w:lineRule="exact"/>
              <w:jc w:val="center"/>
              <w:rPr>
                <w:rFonts w:ascii="宋体" w:hAnsi="宋体"/>
                <w:sz w:val="24"/>
                <w:lang w:val="zh-CN"/>
              </w:rPr>
            </w:pPr>
            <w:r>
              <w:rPr>
                <w:rFonts w:hint="eastAsia" w:ascii="宋体" w:hAnsi="宋体"/>
                <w:sz w:val="24"/>
                <w:lang w:val="zh-CN"/>
              </w:rPr>
              <w:t>用于样品的离心</w:t>
            </w:r>
          </w:p>
        </w:tc>
        <w:tc>
          <w:tcPr>
            <w:tcW w:w="430" w:type="pct"/>
            <w:tcBorders>
              <w:top w:val="single" w:color="000000" w:sz="4" w:space="0"/>
              <w:left w:val="single" w:color="000000" w:sz="4" w:space="0"/>
              <w:bottom w:val="single" w:color="000000" w:sz="4" w:space="0"/>
              <w:right w:val="single" w:color="000000" w:sz="4" w:space="0"/>
            </w:tcBorders>
            <w:vAlign w:val="center"/>
          </w:tcPr>
          <w:p w14:paraId="6A4C023F">
            <w:pPr>
              <w:spacing w:line="300" w:lineRule="exact"/>
              <w:jc w:val="center"/>
              <w:rPr>
                <w:rFonts w:ascii="宋体" w:hAnsi="宋体"/>
                <w:sz w:val="24"/>
                <w:lang w:val="zh-CN"/>
              </w:rPr>
            </w:pPr>
            <w:r>
              <w:rPr>
                <w:rFonts w:hint="eastAsia" w:ascii="宋体" w:hAnsi="宋体"/>
                <w:sz w:val="24"/>
              </w:rPr>
              <w:t>2</w:t>
            </w:r>
            <w:r>
              <w:rPr>
                <w:rFonts w:hint="eastAsia" w:ascii="宋体" w:hAnsi="宋体"/>
                <w:sz w:val="24"/>
                <w:lang w:val="zh-CN"/>
              </w:rPr>
              <w:t>台</w:t>
            </w:r>
          </w:p>
        </w:tc>
      </w:tr>
      <w:tr w14:paraId="220A987A">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563C3903">
            <w:pPr>
              <w:spacing w:line="300" w:lineRule="exact"/>
              <w:jc w:val="center"/>
              <w:rPr>
                <w:rFonts w:ascii="宋体" w:hAnsi="宋体"/>
                <w:sz w:val="24"/>
                <w:lang w:val="zh-CN"/>
              </w:rPr>
            </w:pPr>
            <w:r>
              <w:rPr>
                <w:rFonts w:hint="eastAsia" w:ascii="宋体" w:hAnsi="宋体"/>
                <w:sz w:val="24"/>
                <w:lang w:val="zh-CN"/>
              </w:rPr>
              <w:t>3</w:t>
            </w:r>
          </w:p>
        </w:tc>
        <w:tc>
          <w:tcPr>
            <w:tcW w:w="886" w:type="pct"/>
            <w:tcBorders>
              <w:top w:val="single" w:color="000000" w:sz="4" w:space="0"/>
              <w:left w:val="single" w:color="000000" w:sz="4" w:space="0"/>
              <w:bottom w:val="single" w:color="000000" w:sz="4" w:space="0"/>
              <w:right w:val="single" w:color="000000" w:sz="4" w:space="0"/>
            </w:tcBorders>
            <w:vAlign w:val="center"/>
          </w:tcPr>
          <w:p w14:paraId="5F640B85">
            <w:pPr>
              <w:spacing w:line="300" w:lineRule="exact"/>
              <w:jc w:val="center"/>
              <w:rPr>
                <w:rFonts w:ascii="宋体" w:hAnsi="宋体"/>
                <w:sz w:val="24"/>
                <w:lang w:val="zh-CN"/>
              </w:rPr>
            </w:pPr>
            <w:r>
              <w:rPr>
                <w:rFonts w:hint="eastAsia" w:ascii="宋体" w:hAnsi="宋体"/>
                <w:sz w:val="24"/>
                <w:lang w:val="zh-CN"/>
              </w:rPr>
              <w:t>恒温水浴锅</w:t>
            </w:r>
          </w:p>
        </w:tc>
        <w:tc>
          <w:tcPr>
            <w:tcW w:w="3280" w:type="pct"/>
            <w:tcBorders>
              <w:top w:val="single" w:color="000000" w:sz="4" w:space="0"/>
              <w:left w:val="single" w:color="000000" w:sz="4" w:space="0"/>
              <w:bottom w:val="single" w:color="000000" w:sz="4" w:space="0"/>
              <w:right w:val="single" w:color="000000" w:sz="4" w:space="0"/>
            </w:tcBorders>
            <w:vAlign w:val="center"/>
          </w:tcPr>
          <w:p w14:paraId="1C1AD40C">
            <w:pPr>
              <w:spacing w:line="300" w:lineRule="exact"/>
              <w:jc w:val="center"/>
              <w:rPr>
                <w:rFonts w:ascii="宋体" w:hAnsi="宋体"/>
                <w:sz w:val="24"/>
                <w:lang w:val="zh-CN"/>
              </w:rPr>
            </w:pPr>
            <w:r>
              <w:rPr>
                <w:rFonts w:hint="eastAsia" w:ascii="宋体" w:hAnsi="宋体"/>
                <w:sz w:val="24"/>
                <w:lang w:val="zh-CN"/>
              </w:rPr>
              <w:t>用于样品的孵育、加热</w:t>
            </w:r>
          </w:p>
        </w:tc>
        <w:tc>
          <w:tcPr>
            <w:tcW w:w="430" w:type="pct"/>
            <w:tcBorders>
              <w:top w:val="single" w:color="000000" w:sz="4" w:space="0"/>
              <w:left w:val="single" w:color="000000" w:sz="4" w:space="0"/>
              <w:bottom w:val="single" w:color="000000" w:sz="4" w:space="0"/>
              <w:right w:val="single" w:color="000000" w:sz="4" w:space="0"/>
            </w:tcBorders>
            <w:vAlign w:val="center"/>
          </w:tcPr>
          <w:p w14:paraId="4C4584F5">
            <w:pPr>
              <w:spacing w:line="300" w:lineRule="exact"/>
              <w:jc w:val="center"/>
              <w:rPr>
                <w:rFonts w:ascii="宋体" w:hAnsi="宋体"/>
                <w:sz w:val="24"/>
                <w:lang w:val="zh-CN"/>
              </w:rPr>
            </w:pPr>
            <w:r>
              <w:rPr>
                <w:rFonts w:hint="eastAsia" w:ascii="宋体" w:hAnsi="宋体"/>
                <w:sz w:val="24"/>
              </w:rPr>
              <w:t>2</w:t>
            </w:r>
            <w:r>
              <w:rPr>
                <w:rFonts w:hint="eastAsia" w:ascii="宋体" w:hAnsi="宋体"/>
                <w:sz w:val="24"/>
                <w:lang w:val="zh-CN"/>
              </w:rPr>
              <w:t>台</w:t>
            </w:r>
          </w:p>
        </w:tc>
      </w:tr>
      <w:tr w14:paraId="56200A76">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0B884243">
            <w:pPr>
              <w:spacing w:line="300" w:lineRule="exact"/>
              <w:jc w:val="center"/>
              <w:rPr>
                <w:rFonts w:ascii="宋体" w:hAnsi="宋体"/>
                <w:sz w:val="24"/>
                <w:lang w:val="zh-CN"/>
              </w:rPr>
            </w:pPr>
            <w:r>
              <w:rPr>
                <w:rFonts w:hint="eastAsia" w:ascii="宋体" w:hAnsi="宋体"/>
                <w:sz w:val="24"/>
                <w:lang w:val="zh-CN"/>
              </w:rPr>
              <w:t>4</w:t>
            </w:r>
          </w:p>
        </w:tc>
        <w:tc>
          <w:tcPr>
            <w:tcW w:w="886" w:type="pct"/>
            <w:tcBorders>
              <w:top w:val="single" w:color="000000" w:sz="4" w:space="0"/>
              <w:left w:val="single" w:color="000000" w:sz="4" w:space="0"/>
              <w:bottom w:val="single" w:color="000000" w:sz="4" w:space="0"/>
              <w:right w:val="single" w:color="000000" w:sz="4" w:space="0"/>
            </w:tcBorders>
            <w:vAlign w:val="center"/>
          </w:tcPr>
          <w:p w14:paraId="0562B1D3">
            <w:pPr>
              <w:spacing w:line="300" w:lineRule="exact"/>
              <w:jc w:val="center"/>
              <w:rPr>
                <w:rFonts w:ascii="宋体" w:hAnsi="宋体"/>
                <w:sz w:val="24"/>
                <w:lang w:val="zh-CN"/>
              </w:rPr>
            </w:pPr>
            <w:r>
              <w:rPr>
                <w:rFonts w:hint="eastAsia" w:ascii="宋体" w:hAnsi="宋体"/>
                <w:sz w:val="24"/>
                <w:lang w:val="zh-CN"/>
              </w:rPr>
              <w:t>样品浓缩仪</w:t>
            </w:r>
          </w:p>
        </w:tc>
        <w:tc>
          <w:tcPr>
            <w:tcW w:w="3280" w:type="pct"/>
            <w:tcBorders>
              <w:top w:val="single" w:color="000000" w:sz="4" w:space="0"/>
              <w:left w:val="single" w:color="000000" w:sz="4" w:space="0"/>
              <w:bottom w:val="single" w:color="000000" w:sz="4" w:space="0"/>
              <w:right w:val="single" w:color="000000" w:sz="4" w:space="0"/>
            </w:tcBorders>
            <w:vAlign w:val="center"/>
          </w:tcPr>
          <w:p w14:paraId="364CA8F2">
            <w:pPr>
              <w:spacing w:line="300" w:lineRule="exact"/>
              <w:jc w:val="center"/>
              <w:rPr>
                <w:rFonts w:ascii="宋体" w:hAnsi="宋体"/>
                <w:sz w:val="24"/>
                <w:lang w:val="zh-CN"/>
              </w:rPr>
            </w:pPr>
            <w:r>
              <w:rPr>
                <w:rFonts w:hint="eastAsia" w:ascii="宋体" w:hAnsi="宋体"/>
                <w:sz w:val="24"/>
                <w:lang w:val="zh-CN"/>
              </w:rPr>
              <w:t>用于溶液的提取浓缩</w:t>
            </w:r>
          </w:p>
        </w:tc>
        <w:tc>
          <w:tcPr>
            <w:tcW w:w="430" w:type="pct"/>
            <w:tcBorders>
              <w:top w:val="single" w:color="000000" w:sz="4" w:space="0"/>
              <w:left w:val="single" w:color="000000" w:sz="4" w:space="0"/>
              <w:bottom w:val="single" w:color="000000" w:sz="4" w:space="0"/>
              <w:right w:val="single" w:color="000000" w:sz="4" w:space="0"/>
            </w:tcBorders>
            <w:vAlign w:val="center"/>
          </w:tcPr>
          <w:p w14:paraId="35FA15B8">
            <w:pPr>
              <w:spacing w:line="300" w:lineRule="exact"/>
              <w:jc w:val="center"/>
              <w:rPr>
                <w:rFonts w:ascii="宋体" w:hAnsi="宋体"/>
                <w:sz w:val="24"/>
                <w:lang w:val="zh-CN"/>
              </w:rPr>
            </w:pPr>
            <w:r>
              <w:rPr>
                <w:rFonts w:hint="eastAsia" w:ascii="宋体" w:hAnsi="宋体"/>
                <w:sz w:val="24"/>
              </w:rPr>
              <w:t>2</w:t>
            </w:r>
            <w:r>
              <w:rPr>
                <w:rFonts w:hint="eastAsia" w:ascii="宋体" w:hAnsi="宋体"/>
                <w:sz w:val="24"/>
                <w:lang w:val="zh-CN"/>
              </w:rPr>
              <w:t>台</w:t>
            </w:r>
          </w:p>
        </w:tc>
      </w:tr>
      <w:tr w14:paraId="35D9E70A">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263E29CF">
            <w:pPr>
              <w:spacing w:line="300" w:lineRule="exact"/>
              <w:jc w:val="center"/>
              <w:rPr>
                <w:rFonts w:ascii="宋体" w:hAnsi="宋体"/>
                <w:sz w:val="24"/>
                <w:lang w:val="zh-CN"/>
              </w:rPr>
            </w:pPr>
            <w:r>
              <w:rPr>
                <w:rFonts w:hint="eastAsia" w:ascii="宋体" w:hAnsi="宋体"/>
                <w:sz w:val="24"/>
                <w:lang w:val="zh-CN"/>
              </w:rPr>
              <w:t>5</w:t>
            </w:r>
          </w:p>
        </w:tc>
        <w:tc>
          <w:tcPr>
            <w:tcW w:w="886" w:type="pct"/>
            <w:tcBorders>
              <w:top w:val="single" w:color="000000" w:sz="4" w:space="0"/>
              <w:left w:val="single" w:color="000000" w:sz="4" w:space="0"/>
              <w:bottom w:val="single" w:color="000000" w:sz="4" w:space="0"/>
              <w:right w:val="single" w:color="000000" w:sz="4" w:space="0"/>
            </w:tcBorders>
            <w:vAlign w:val="center"/>
          </w:tcPr>
          <w:p w14:paraId="39D6B4FA">
            <w:pPr>
              <w:spacing w:line="300" w:lineRule="exact"/>
              <w:jc w:val="center"/>
              <w:rPr>
                <w:rFonts w:ascii="宋体" w:hAnsi="宋体"/>
                <w:sz w:val="24"/>
                <w:lang w:val="zh-CN"/>
              </w:rPr>
            </w:pPr>
            <w:r>
              <w:rPr>
                <w:rFonts w:hint="eastAsia" w:ascii="宋体" w:hAnsi="宋体"/>
                <w:sz w:val="24"/>
                <w:lang w:val="zh-CN"/>
              </w:rPr>
              <w:t>均质机</w:t>
            </w:r>
          </w:p>
        </w:tc>
        <w:tc>
          <w:tcPr>
            <w:tcW w:w="3280" w:type="pct"/>
            <w:tcBorders>
              <w:top w:val="single" w:color="000000" w:sz="4" w:space="0"/>
              <w:left w:val="single" w:color="000000" w:sz="4" w:space="0"/>
              <w:bottom w:val="single" w:color="000000" w:sz="4" w:space="0"/>
              <w:right w:val="single" w:color="000000" w:sz="4" w:space="0"/>
            </w:tcBorders>
            <w:vAlign w:val="center"/>
          </w:tcPr>
          <w:p w14:paraId="7CE9BF4C">
            <w:pPr>
              <w:spacing w:line="300" w:lineRule="exact"/>
              <w:jc w:val="center"/>
              <w:rPr>
                <w:rFonts w:ascii="宋体" w:hAnsi="宋体"/>
                <w:sz w:val="24"/>
                <w:lang w:val="zh-CN"/>
              </w:rPr>
            </w:pPr>
            <w:r>
              <w:rPr>
                <w:rFonts w:hint="eastAsia" w:ascii="宋体" w:hAnsi="宋体"/>
                <w:sz w:val="24"/>
                <w:lang w:val="zh-CN"/>
              </w:rPr>
              <w:t>通过高转速的剪切刀，把不同质地的东西混合均匀，使原料相互之间更好地融合。</w:t>
            </w:r>
          </w:p>
        </w:tc>
        <w:tc>
          <w:tcPr>
            <w:tcW w:w="430" w:type="pct"/>
            <w:tcBorders>
              <w:top w:val="single" w:color="000000" w:sz="4" w:space="0"/>
              <w:left w:val="single" w:color="000000" w:sz="4" w:space="0"/>
              <w:bottom w:val="single" w:color="000000" w:sz="4" w:space="0"/>
              <w:right w:val="single" w:color="000000" w:sz="4" w:space="0"/>
            </w:tcBorders>
            <w:vAlign w:val="center"/>
          </w:tcPr>
          <w:p w14:paraId="2E5CB6B4">
            <w:pPr>
              <w:spacing w:line="300" w:lineRule="exact"/>
              <w:jc w:val="center"/>
              <w:rPr>
                <w:rFonts w:ascii="宋体" w:hAnsi="宋体"/>
                <w:sz w:val="24"/>
                <w:lang w:val="zh-CN"/>
              </w:rPr>
            </w:pPr>
            <w:r>
              <w:rPr>
                <w:rFonts w:hint="eastAsia" w:ascii="宋体" w:hAnsi="宋体"/>
                <w:sz w:val="24"/>
              </w:rPr>
              <w:t>5</w:t>
            </w:r>
            <w:r>
              <w:rPr>
                <w:rFonts w:hint="eastAsia" w:ascii="宋体" w:hAnsi="宋体"/>
                <w:sz w:val="24"/>
                <w:lang w:val="zh-CN"/>
              </w:rPr>
              <w:t>台</w:t>
            </w:r>
          </w:p>
        </w:tc>
      </w:tr>
      <w:tr w14:paraId="400E116D">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038147B3">
            <w:pPr>
              <w:spacing w:line="300" w:lineRule="exact"/>
              <w:jc w:val="center"/>
              <w:rPr>
                <w:rFonts w:ascii="宋体" w:hAnsi="宋体"/>
                <w:sz w:val="24"/>
                <w:lang w:val="zh-CN"/>
              </w:rPr>
            </w:pPr>
            <w:r>
              <w:rPr>
                <w:rFonts w:hint="eastAsia" w:ascii="宋体" w:hAnsi="宋体"/>
                <w:sz w:val="24"/>
                <w:lang w:val="zh-CN"/>
              </w:rPr>
              <w:t>6</w:t>
            </w:r>
          </w:p>
        </w:tc>
        <w:tc>
          <w:tcPr>
            <w:tcW w:w="886" w:type="pct"/>
            <w:tcBorders>
              <w:top w:val="single" w:color="000000" w:sz="4" w:space="0"/>
              <w:left w:val="single" w:color="000000" w:sz="4" w:space="0"/>
              <w:bottom w:val="single" w:color="000000" w:sz="4" w:space="0"/>
              <w:right w:val="single" w:color="000000" w:sz="4" w:space="0"/>
            </w:tcBorders>
            <w:vAlign w:val="center"/>
          </w:tcPr>
          <w:p w14:paraId="11A84212">
            <w:pPr>
              <w:spacing w:line="300" w:lineRule="exact"/>
              <w:jc w:val="center"/>
              <w:rPr>
                <w:rFonts w:ascii="宋体" w:hAnsi="宋体"/>
                <w:sz w:val="24"/>
                <w:lang w:val="zh-CN"/>
              </w:rPr>
            </w:pPr>
            <w:r>
              <w:rPr>
                <w:rFonts w:hint="eastAsia" w:ascii="宋体" w:hAnsi="宋体"/>
                <w:sz w:val="24"/>
                <w:lang w:val="zh-CN"/>
              </w:rPr>
              <w:t>电子天平</w:t>
            </w:r>
          </w:p>
        </w:tc>
        <w:tc>
          <w:tcPr>
            <w:tcW w:w="3280" w:type="pct"/>
            <w:tcBorders>
              <w:top w:val="single" w:color="000000" w:sz="4" w:space="0"/>
              <w:left w:val="single" w:color="000000" w:sz="4" w:space="0"/>
              <w:bottom w:val="single" w:color="000000" w:sz="4" w:space="0"/>
              <w:right w:val="single" w:color="000000" w:sz="4" w:space="0"/>
            </w:tcBorders>
            <w:vAlign w:val="center"/>
          </w:tcPr>
          <w:p w14:paraId="7EFB6E2C">
            <w:pPr>
              <w:spacing w:line="300" w:lineRule="exact"/>
              <w:jc w:val="center"/>
              <w:rPr>
                <w:rFonts w:ascii="宋体" w:hAnsi="宋体"/>
                <w:sz w:val="24"/>
                <w:lang w:val="zh-CN"/>
              </w:rPr>
            </w:pPr>
            <w:r>
              <w:rPr>
                <w:rFonts w:hint="eastAsia" w:ascii="宋体" w:hAnsi="宋体"/>
                <w:sz w:val="24"/>
                <w:lang w:val="zh-CN"/>
              </w:rPr>
              <w:t>300G,0.01量程</w:t>
            </w:r>
          </w:p>
        </w:tc>
        <w:tc>
          <w:tcPr>
            <w:tcW w:w="430" w:type="pct"/>
            <w:tcBorders>
              <w:top w:val="single" w:color="000000" w:sz="4" w:space="0"/>
              <w:left w:val="single" w:color="000000" w:sz="4" w:space="0"/>
              <w:bottom w:val="single" w:color="000000" w:sz="4" w:space="0"/>
              <w:right w:val="single" w:color="000000" w:sz="4" w:space="0"/>
            </w:tcBorders>
            <w:vAlign w:val="center"/>
          </w:tcPr>
          <w:p w14:paraId="0EBE92B0">
            <w:pPr>
              <w:spacing w:line="300" w:lineRule="exact"/>
              <w:jc w:val="center"/>
              <w:rPr>
                <w:rFonts w:ascii="宋体" w:hAnsi="宋体"/>
                <w:sz w:val="24"/>
                <w:lang w:val="zh-CN"/>
              </w:rPr>
            </w:pPr>
            <w:r>
              <w:rPr>
                <w:rFonts w:hint="eastAsia" w:ascii="宋体" w:hAnsi="宋体"/>
                <w:sz w:val="24"/>
              </w:rPr>
              <w:t>5</w:t>
            </w:r>
            <w:r>
              <w:rPr>
                <w:rFonts w:hint="eastAsia" w:ascii="宋体" w:hAnsi="宋体"/>
                <w:sz w:val="24"/>
                <w:lang w:val="zh-CN"/>
              </w:rPr>
              <w:t>台</w:t>
            </w:r>
          </w:p>
        </w:tc>
      </w:tr>
      <w:tr w14:paraId="1E6FA100">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76BF51DE">
            <w:pPr>
              <w:spacing w:line="300" w:lineRule="exact"/>
              <w:jc w:val="center"/>
              <w:rPr>
                <w:rFonts w:ascii="宋体" w:hAnsi="宋体"/>
                <w:sz w:val="24"/>
                <w:lang w:val="zh-CN"/>
              </w:rPr>
            </w:pPr>
            <w:r>
              <w:rPr>
                <w:rFonts w:hint="eastAsia" w:ascii="宋体" w:hAnsi="宋体"/>
                <w:sz w:val="24"/>
                <w:lang w:val="zh-CN"/>
              </w:rPr>
              <w:t>7</w:t>
            </w:r>
          </w:p>
        </w:tc>
        <w:tc>
          <w:tcPr>
            <w:tcW w:w="886" w:type="pct"/>
            <w:tcBorders>
              <w:top w:val="single" w:color="000000" w:sz="4" w:space="0"/>
              <w:left w:val="single" w:color="000000" w:sz="4" w:space="0"/>
              <w:bottom w:val="single" w:color="000000" w:sz="4" w:space="0"/>
              <w:right w:val="single" w:color="000000" w:sz="4" w:space="0"/>
            </w:tcBorders>
            <w:noWrap/>
            <w:vAlign w:val="center"/>
          </w:tcPr>
          <w:p w14:paraId="24B4B899">
            <w:pPr>
              <w:spacing w:line="300" w:lineRule="exact"/>
              <w:jc w:val="center"/>
              <w:rPr>
                <w:rFonts w:ascii="宋体" w:hAnsi="宋体"/>
                <w:sz w:val="24"/>
                <w:lang w:val="zh-CN"/>
              </w:rPr>
            </w:pPr>
            <w:r>
              <w:rPr>
                <w:rFonts w:hint="eastAsia" w:ascii="宋体" w:hAnsi="宋体"/>
                <w:sz w:val="24"/>
                <w:lang w:val="zh-CN"/>
              </w:rPr>
              <w:t>漩涡仪</w:t>
            </w:r>
          </w:p>
        </w:tc>
        <w:tc>
          <w:tcPr>
            <w:tcW w:w="3280" w:type="pct"/>
            <w:tcBorders>
              <w:top w:val="single" w:color="000000" w:sz="4" w:space="0"/>
              <w:left w:val="single" w:color="000000" w:sz="4" w:space="0"/>
              <w:bottom w:val="single" w:color="000000" w:sz="4" w:space="0"/>
              <w:right w:val="single" w:color="000000" w:sz="4" w:space="0"/>
            </w:tcBorders>
            <w:vAlign w:val="center"/>
          </w:tcPr>
          <w:p w14:paraId="441A7E4E">
            <w:pPr>
              <w:spacing w:line="300" w:lineRule="exact"/>
              <w:jc w:val="center"/>
              <w:rPr>
                <w:rFonts w:ascii="宋体" w:hAnsi="宋体"/>
                <w:sz w:val="24"/>
                <w:lang w:val="zh-CN"/>
              </w:rPr>
            </w:pPr>
            <w:r>
              <w:rPr>
                <w:rFonts w:hint="eastAsia" w:ascii="宋体" w:hAnsi="宋体"/>
                <w:sz w:val="24"/>
                <w:lang w:val="zh-CN"/>
              </w:rPr>
              <w:t>用于样品漩涡混合</w:t>
            </w:r>
          </w:p>
        </w:tc>
        <w:tc>
          <w:tcPr>
            <w:tcW w:w="430" w:type="pct"/>
            <w:tcBorders>
              <w:top w:val="single" w:color="000000" w:sz="4" w:space="0"/>
              <w:left w:val="single" w:color="000000" w:sz="4" w:space="0"/>
              <w:bottom w:val="single" w:color="000000" w:sz="4" w:space="0"/>
              <w:right w:val="single" w:color="000000" w:sz="4" w:space="0"/>
            </w:tcBorders>
            <w:vAlign w:val="center"/>
          </w:tcPr>
          <w:p w14:paraId="476C3D11">
            <w:pPr>
              <w:spacing w:line="300" w:lineRule="exact"/>
              <w:jc w:val="center"/>
              <w:rPr>
                <w:rFonts w:ascii="宋体" w:hAnsi="宋体"/>
                <w:sz w:val="24"/>
                <w:lang w:val="zh-CN"/>
              </w:rPr>
            </w:pPr>
            <w:r>
              <w:rPr>
                <w:rFonts w:hint="eastAsia" w:ascii="宋体" w:hAnsi="宋体"/>
                <w:sz w:val="24"/>
              </w:rPr>
              <w:t>5</w:t>
            </w:r>
            <w:r>
              <w:rPr>
                <w:rFonts w:hint="eastAsia" w:ascii="宋体" w:hAnsi="宋体"/>
                <w:sz w:val="24"/>
                <w:lang w:val="zh-CN"/>
              </w:rPr>
              <w:t>台</w:t>
            </w:r>
          </w:p>
        </w:tc>
      </w:tr>
      <w:tr w14:paraId="10410542">
        <w:tblPrEx>
          <w:tblCellMar>
            <w:top w:w="0" w:type="dxa"/>
            <w:left w:w="108" w:type="dxa"/>
            <w:bottom w:w="0" w:type="dxa"/>
            <w:right w:w="108" w:type="dxa"/>
          </w:tblCellMar>
        </w:tblPrEx>
        <w:trPr>
          <w:trHeight w:val="850" w:hRule="exact"/>
          <w:jc w:val="center"/>
        </w:trPr>
        <w:tc>
          <w:tcPr>
            <w:tcW w:w="402" w:type="pct"/>
            <w:tcBorders>
              <w:top w:val="single" w:color="000000" w:sz="4" w:space="0"/>
              <w:left w:val="single" w:color="000000" w:sz="4" w:space="0"/>
              <w:bottom w:val="single" w:color="000000" w:sz="4" w:space="0"/>
              <w:right w:val="single" w:color="000000" w:sz="4" w:space="0"/>
            </w:tcBorders>
            <w:vAlign w:val="center"/>
          </w:tcPr>
          <w:p w14:paraId="3B803F16">
            <w:pPr>
              <w:spacing w:line="300" w:lineRule="exact"/>
              <w:jc w:val="center"/>
              <w:rPr>
                <w:rFonts w:ascii="宋体" w:hAnsi="宋体"/>
                <w:sz w:val="24"/>
                <w:lang w:val="zh-CN"/>
              </w:rPr>
            </w:pPr>
            <w:r>
              <w:rPr>
                <w:rFonts w:hint="eastAsia" w:ascii="宋体" w:hAnsi="宋体"/>
                <w:sz w:val="24"/>
                <w:lang w:val="zh-CN"/>
              </w:rPr>
              <w:t>8</w:t>
            </w:r>
          </w:p>
        </w:tc>
        <w:tc>
          <w:tcPr>
            <w:tcW w:w="886" w:type="pct"/>
            <w:tcBorders>
              <w:top w:val="single" w:color="000000" w:sz="4" w:space="0"/>
              <w:left w:val="single" w:color="000000" w:sz="4" w:space="0"/>
              <w:bottom w:val="single" w:color="000000" w:sz="4" w:space="0"/>
              <w:right w:val="single" w:color="000000" w:sz="4" w:space="0"/>
            </w:tcBorders>
            <w:vAlign w:val="center"/>
          </w:tcPr>
          <w:p w14:paraId="420110C6">
            <w:pPr>
              <w:spacing w:line="300" w:lineRule="exact"/>
              <w:jc w:val="center"/>
              <w:rPr>
                <w:rFonts w:ascii="宋体" w:hAnsi="宋体"/>
                <w:sz w:val="24"/>
                <w:lang w:val="zh-CN"/>
              </w:rPr>
            </w:pPr>
            <w:r>
              <w:rPr>
                <w:rFonts w:hint="eastAsia" w:ascii="宋体" w:hAnsi="宋体"/>
                <w:sz w:val="24"/>
                <w:lang w:val="zh-CN"/>
              </w:rPr>
              <w:t>检测工具</w:t>
            </w:r>
          </w:p>
        </w:tc>
        <w:tc>
          <w:tcPr>
            <w:tcW w:w="3280" w:type="pct"/>
            <w:tcBorders>
              <w:top w:val="single" w:color="000000" w:sz="4" w:space="0"/>
              <w:left w:val="single" w:color="000000" w:sz="4" w:space="0"/>
              <w:bottom w:val="single" w:color="000000" w:sz="4" w:space="0"/>
              <w:right w:val="single" w:color="000000" w:sz="4" w:space="0"/>
            </w:tcBorders>
            <w:vAlign w:val="center"/>
          </w:tcPr>
          <w:p w14:paraId="3DED5758">
            <w:pPr>
              <w:spacing w:line="300" w:lineRule="exact"/>
              <w:jc w:val="center"/>
              <w:rPr>
                <w:rFonts w:ascii="宋体" w:hAnsi="宋体"/>
                <w:sz w:val="24"/>
                <w:lang w:val="zh-CN"/>
              </w:rPr>
            </w:pPr>
            <w:r>
              <w:rPr>
                <w:rFonts w:hint="eastAsia" w:ascii="宋体" w:hAnsi="宋体"/>
                <w:sz w:val="24"/>
                <w:lang w:val="zh-CN"/>
              </w:rPr>
              <w:t>20-200μl移液器1把，100-1000μl移液器1把，1000-5000μl移液器1把，计时器1个，剪刀镊子等检测配件</w:t>
            </w:r>
          </w:p>
        </w:tc>
        <w:tc>
          <w:tcPr>
            <w:tcW w:w="430" w:type="pct"/>
            <w:tcBorders>
              <w:top w:val="single" w:color="000000" w:sz="4" w:space="0"/>
              <w:left w:val="single" w:color="000000" w:sz="4" w:space="0"/>
              <w:bottom w:val="single" w:color="000000" w:sz="4" w:space="0"/>
              <w:right w:val="single" w:color="000000" w:sz="4" w:space="0"/>
            </w:tcBorders>
            <w:vAlign w:val="center"/>
          </w:tcPr>
          <w:p w14:paraId="553C9585">
            <w:pPr>
              <w:spacing w:line="300" w:lineRule="exact"/>
              <w:jc w:val="center"/>
              <w:rPr>
                <w:rFonts w:ascii="宋体" w:hAnsi="宋体"/>
                <w:sz w:val="24"/>
                <w:lang w:val="zh-CN"/>
              </w:rPr>
            </w:pPr>
            <w:r>
              <w:rPr>
                <w:rFonts w:hint="eastAsia" w:ascii="宋体" w:hAnsi="宋体"/>
                <w:sz w:val="24"/>
              </w:rPr>
              <w:t>5</w:t>
            </w:r>
            <w:r>
              <w:rPr>
                <w:rFonts w:hint="eastAsia" w:ascii="宋体" w:hAnsi="宋体"/>
                <w:sz w:val="24"/>
                <w:lang w:val="zh-CN"/>
              </w:rPr>
              <w:t>套</w:t>
            </w:r>
          </w:p>
        </w:tc>
      </w:tr>
    </w:tbl>
    <w:p w14:paraId="297364B5">
      <w:pPr>
        <w:pStyle w:val="27"/>
        <w:jc w:val="left"/>
        <w:rPr>
          <w:rFonts w:asciiTheme="minorEastAsia" w:hAnsiTheme="minorEastAsia" w:eastAsiaTheme="minorEastAsia"/>
          <w:sz w:val="28"/>
          <w:szCs w:val="28"/>
        </w:rPr>
      </w:pPr>
    </w:p>
    <w:p w14:paraId="4AEB4247">
      <w:pPr>
        <w:spacing w:line="460" w:lineRule="exact"/>
        <w:rPr>
          <w:rFonts w:ascii="宋体" w:hAnsi="宋体"/>
          <w:b/>
          <w:bCs/>
          <w:sz w:val="24"/>
          <w:lang w:val="zh-CN"/>
        </w:rPr>
      </w:pPr>
      <w:r>
        <w:rPr>
          <w:rFonts w:hint="eastAsia" w:ascii="宋体" w:hAnsi="宋体"/>
          <w:b/>
          <w:bCs/>
          <w:sz w:val="24"/>
          <w:lang w:val="zh-CN"/>
        </w:rPr>
        <w:t>（</w:t>
      </w:r>
      <w:r>
        <w:rPr>
          <w:rFonts w:hint="eastAsia" w:ascii="宋体" w:hAnsi="宋体"/>
          <w:b/>
          <w:bCs/>
          <w:sz w:val="24"/>
        </w:rPr>
        <w:t>3</w:t>
      </w:r>
      <w:r>
        <w:rPr>
          <w:rFonts w:hint="eastAsia" w:ascii="宋体" w:hAnsi="宋体"/>
          <w:b/>
          <w:bCs/>
          <w:sz w:val="24"/>
          <w:lang w:val="zh-CN"/>
        </w:rPr>
        <w:t>）检测服务质量要求</w:t>
      </w:r>
    </w:p>
    <w:p w14:paraId="3E5A856B">
      <w:pPr>
        <w:spacing w:line="460" w:lineRule="exact"/>
        <w:ind w:firstLine="480"/>
        <w:rPr>
          <w:rFonts w:ascii="宋体" w:hAnsi="宋体"/>
          <w:sz w:val="24"/>
        </w:rPr>
      </w:pPr>
      <w:r>
        <w:rPr>
          <w:rFonts w:hint="eastAsia" w:ascii="宋体" w:hAnsi="宋体"/>
          <w:sz w:val="24"/>
        </w:rPr>
        <w:t>1、中标（成交）供应商应严格按照有关规定和标准进行抽样和检测，采样、检测、数据检测、公示需达到上级主管部门检测时效要求。</w:t>
      </w:r>
    </w:p>
    <w:p w14:paraId="31BD3BBB">
      <w:pPr>
        <w:spacing w:line="460" w:lineRule="exact"/>
        <w:ind w:firstLine="480"/>
        <w:rPr>
          <w:rFonts w:ascii="宋体" w:hAnsi="宋体"/>
          <w:sz w:val="24"/>
        </w:rPr>
      </w:pPr>
      <w:r>
        <w:rPr>
          <w:rFonts w:hint="eastAsia" w:ascii="宋体" w:hAnsi="宋体"/>
          <w:sz w:val="24"/>
        </w:rPr>
        <w:t>2、使用的试剂及辅助材料满足快速检测设备需要及相关技术标准要求，确保结果可靠。</w:t>
      </w:r>
    </w:p>
    <w:p w14:paraId="43A930F4">
      <w:pPr>
        <w:spacing w:line="460" w:lineRule="exact"/>
        <w:ind w:firstLine="480"/>
        <w:rPr>
          <w:rFonts w:ascii="宋体" w:hAnsi="宋体"/>
          <w:sz w:val="24"/>
        </w:rPr>
      </w:pPr>
      <w:r>
        <w:rPr>
          <w:rFonts w:hint="eastAsia" w:ascii="宋体" w:hAnsi="宋体"/>
          <w:sz w:val="24"/>
        </w:rPr>
        <w:t>3、国家颁布新的快检标准后，应保证所使用的试剂符合新的快检标准。</w:t>
      </w:r>
    </w:p>
    <w:p w14:paraId="4CC7C713">
      <w:pPr>
        <w:spacing w:line="460" w:lineRule="exact"/>
        <w:ind w:firstLine="480"/>
        <w:rPr>
          <w:rFonts w:ascii="宋体" w:hAnsi="宋体"/>
          <w:sz w:val="24"/>
        </w:rPr>
      </w:pPr>
      <w:r>
        <w:rPr>
          <w:rFonts w:hint="eastAsia" w:ascii="宋体" w:hAnsi="宋体"/>
          <w:sz w:val="24"/>
        </w:rPr>
        <w:t>4、对于出现误差率较高的农产品、食品品种和检测项目及时检测并上报。</w:t>
      </w:r>
    </w:p>
    <w:p w14:paraId="272CF3DA">
      <w:pPr>
        <w:spacing w:line="460" w:lineRule="exact"/>
        <w:ind w:firstLine="480"/>
        <w:rPr>
          <w:rFonts w:ascii="宋体" w:hAnsi="宋体"/>
          <w:sz w:val="24"/>
        </w:rPr>
      </w:pPr>
      <w:r>
        <w:rPr>
          <w:rFonts w:hint="eastAsia" w:ascii="宋体" w:hAnsi="宋体"/>
          <w:sz w:val="24"/>
        </w:rPr>
        <w:t>5、采购人可不定期抽查所用快速检测设备和耗材质量，因供应商使用不合格试剂等耗材造成的不良后果，由中标（成交）供应商负责。</w:t>
      </w:r>
    </w:p>
    <w:p w14:paraId="0293C4C5">
      <w:pPr>
        <w:spacing w:line="460" w:lineRule="exact"/>
        <w:ind w:firstLine="480"/>
        <w:rPr>
          <w:rFonts w:ascii="宋体" w:hAnsi="宋体"/>
          <w:sz w:val="24"/>
        </w:rPr>
      </w:pPr>
      <w:r>
        <w:rPr>
          <w:rFonts w:hint="eastAsia" w:ascii="宋体" w:hAnsi="宋体"/>
          <w:sz w:val="24"/>
        </w:rPr>
        <w:t>6、中标（成交）供应商应建立内部培训管理制度，定期组织开展食品安全法律法规、仪器使用与管理、数据处理、质量控制及管理等方面的培训及考核，每年进行不少于30小时的技术培训（每季度供应商需提供培训记录）</w:t>
      </w:r>
    </w:p>
    <w:p w14:paraId="79F0737C">
      <w:pPr>
        <w:spacing w:line="460" w:lineRule="exact"/>
        <w:ind w:firstLine="480"/>
        <w:rPr>
          <w:rFonts w:hint="eastAsia" w:ascii="宋体" w:hAnsi="宋体"/>
          <w:sz w:val="24"/>
          <w:highlight w:val="none"/>
        </w:rPr>
      </w:pPr>
      <w:r>
        <w:rPr>
          <w:rFonts w:hint="eastAsia" w:ascii="宋体" w:hAnsi="宋体"/>
          <w:sz w:val="24"/>
        </w:rPr>
        <w:t>7、中标（成交）供应商按照本项目采购需求，制定包括人员管理、业务培训、检测规程、检测结果公示（上传）规定、档案管理等的管理制度体系，实现全过程、全方位的规范化管理。管理制</w:t>
      </w:r>
      <w:r>
        <w:rPr>
          <w:rFonts w:hint="eastAsia" w:ascii="宋体" w:hAnsi="宋体"/>
          <w:sz w:val="24"/>
          <w:highlight w:val="none"/>
        </w:rPr>
        <w:t>度应上墙公示，接受公众监督。</w:t>
      </w:r>
    </w:p>
    <w:p w14:paraId="0A77CAAC">
      <w:pPr>
        <w:spacing w:line="460" w:lineRule="exact"/>
        <w:ind w:firstLine="480"/>
        <w:rPr>
          <w:rFonts w:hint="eastAsia" w:ascii="宋体" w:hAnsi="宋体"/>
          <w:sz w:val="24"/>
          <w:highlight w:val="none"/>
          <w:lang w:val="en-US" w:eastAsia="zh-CN"/>
        </w:rPr>
      </w:pPr>
      <w:r>
        <w:rPr>
          <w:rFonts w:hint="eastAsia" w:ascii="宋体" w:hAnsi="宋体"/>
          <w:sz w:val="24"/>
          <w:highlight w:val="none"/>
          <w:lang w:val="en-US" w:eastAsia="zh-CN"/>
        </w:rPr>
        <w:t>8、对于快检不合格批次，须更换检测人员、检测设备及检测试剂进行复核，用于复核的检测试剂必须采用不同品牌生产厂家的快检试剂。</w:t>
      </w:r>
    </w:p>
    <w:p w14:paraId="0F61AB9F">
      <w:pPr>
        <w:spacing w:line="460" w:lineRule="exact"/>
        <w:ind w:firstLine="480"/>
        <w:rPr>
          <w:rFonts w:hint="default" w:ascii="宋体" w:hAnsi="宋体" w:eastAsia="宋体" w:cs="Times New Roman"/>
          <w:sz w:val="24"/>
          <w:highlight w:val="none"/>
          <w:lang w:val="en-US" w:eastAsia="zh-CN"/>
        </w:rPr>
      </w:pPr>
      <w:r>
        <w:rPr>
          <w:rFonts w:hint="eastAsia" w:ascii="宋体" w:hAnsi="宋体"/>
          <w:sz w:val="24"/>
          <w:highlight w:val="none"/>
          <w:lang w:val="en-US" w:eastAsia="zh-CN"/>
        </w:rPr>
        <w:t>9、</w:t>
      </w:r>
      <w:r>
        <w:rPr>
          <w:rFonts w:hint="eastAsia" w:ascii="宋体" w:hAnsi="宋体"/>
          <w:sz w:val="24"/>
          <w:highlight w:val="none"/>
        </w:rPr>
        <w:t>中标（成交）供应商</w:t>
      </w:r>
      <w:r>
        <w:rPr>
          <w:rFonts w:hint="eastAsia" w:ascii="宋体" w:hAnsi="宋体"/>
          <w:sz w:val="24"/>
          <w:highlight w:val="none"/>
          <w:lang w:val="en-US" w:eastAsia="zh-CN"/>
        </w:rPr>
        <w:t>所</w:t>
      </w:r>
      <w:r>
        <w:rPr>
          <w:rFonts w:hint="eastAsia" w:ascii="宋体" w:hAnsi="宋体" w:eastAsia="宋体" w:cs="Times New Roman"/>
          <w:sz w:val="24"/>
          <w:highlight w:val="none"/>
          <w:lang w:val="en-US" w:eastAsia="zh-CN"/>
        </w:rPr>
        <w:t>用胶体金检测试剂必须使用农业农村部推荐目录内试剂的，非目录内试剂一律不得再使用。一经发现使用非农业农村部推荐目录内试剂处罚5000元，第二次发现解除合同。</w:t>
      </w:r>
    </w:p>
    <w:p w14:paraId="188B458D">
      <w:pPr>
        <w:spacing w:line="460" w:lineRule="exact"/>
        <w:ind w:firstLine="482"/>
        <w:rPr>
          <w:rFonts w:ascii="宋体" w:hAnsi="宋体"/>
          <w:b/>
          <w:sz w:val="24"/>
        </w:rPr>
      </w:pPr>
      <w:r>
        <w:rPr>
          <w:rFonts w:hint="eastAsia" w:ascii="宋体" w:hAnsi="宋体"/>
          <w:b/>
          <w:sz w:val="24"/>
        </w:rPr>
        <w:t>三、商务要求（含报价要求、合同履行期限、质量标准、服务地点、付款方式等）</w:t>
      </w:r>
    </w:p>
    <w:p w14:paraId="31F7F330">
      <w:pPr>
        <w:spacing w:line="460" w:lineRule="exact"/>
        <w:ind w:firstLine="480"/>
        <w:rPr>
          <w:rFonts w:ascii="宋体" w:hAnsi="宋体"/>
          <w:sz w:val="24"/>
        </w:rPr>
      </w:pPr>
      <w:r>
        <w:rPr>
          <w:rFonts w:ascii="宋体" w:hAnsi="宋体"/>
          <w:sz w:val="24"/>
        </w:rPr>
        <w:t>1</w:t>
      </w:r>
      <w:r>
        <w:rPr>
          <w:rFonts w:hint="eastAsia" w:ascii="宋体" w:hAnsi="宋体"/>
          <w:sz w:val="24"/>
        </w:rPr>
        <w:t>、磋商报价采用总承包方式，投标人的“总报价”应包括完成招标范围内所有工作内容所需支付的各项金额的全年52周服务期总和，</w:t>
      </w:r>
      <w:r>
        <w:rPr>
          <w:rFonts w:hint="eastAsia" w:ascii="宋体" w:hAnsi="宋体" w:cs="宋体"/>
          <w:sz w:val="24"/>
        </w:rPr>
        <w:t>包括(但不限于)：</w:t>
      </w:r>
      <w:r>
        <w:rPr>
          <w:rFonts w:hint="eastAsia" w:ascii="宋体" w:hAnsi="宋体"/>
          <w:sz w:val="24"/>
        </w:rPr>
        <w:t>供应商为完成本项目采购内容所必须的质量保证与技术支持、采用、分析、报告、检测、培训、软件、仪器设备投入及售后服务；支付给员工的工资和国家强制缴纳的各种社会保障资金，以及供应商认为需要的其他费用等。合同总金额还包括了供应商的所有人员工资、劳务支出、配套费用、保险、税费及服务相关等所发生的全部费用以及乙方企业利润、税金、招标代理服务费和政策性文件规定及合同包含的所有风险、责任等各项应有费用。同时，除非合同条款中另有规定，否则，合同总金额在合同实施期间不因市场变化因素而变动。</w:t>
      </w:r>
    </w:p>
    <w:p w14:paraId="10393E6C">
      <w:pPr>
        <w:spacing w:line="460" w:lineRule="exact"/>
        <w:ind w:firstLine="480"/>
        <w:rPr>
          <w:rFonts w:ascii="宋体" w:hAnsi="宋体"/>
          <w:sz w:val="24"/>
        </w:rPr>
      </w:pPr>
      <w:r>
        <w:rPr>
          <w:rFonts w:hint="eastAsia" w:ascii="宋体" w:hAnsi="宋体"/>
          <w:sz w:val="24"/>
        </w:rPr>
        <w:t>2、合同履行期限：自本合同签订之日起全年52周内完成。</w:t>
      </w:r>
    </w:p>
    <w:p w14:paraId="7F1C81BC">
      <w:pPr>
        <w:pStyle w:val="6"/>
        <w:spacing w:line="460" w:lineRule="exact"/>
        <w:ind w:firstLine="480"/>
        <w:rPr>
          <w:rFonts w:ascii="宋体" w:hAnsi="宋体"/>
          <w:sz w:val="24"/>
        </w:rPr>
      </w:pPr>
      <w:r>
        <w:rPr>
          <w:rFonts w:hint="eastAsia" w:ascii="宋体" w:hAnsi="宋体"/>
          <w:sz w:val="24"/>
        </w:rPr>
        <w:t>3、质量标准：符合国家现行的规范和标准并达到采购人要求，成果资料真实、及时、可靠。</w:t>
      </w:r>
    </w:p>
    <w:p w14:paraId="03A9F499">
      <w:pPr>
        <w:spacing w:line="460" w:lineRule="exact"/>
        <w:ind w:firstLine="480"/>
        <w:rPr>
          <w:rFonts w:ascii="宋体" w:hAnsi="宋体"/>
          <w:sz w:val="24"/>
        </w:rPr>
      </w:pPr>
      <w:r>
        <w:rPr>
          <w:rFonts w:hint="eastAsia" w:ascii="宋体" w:hAnsi="宋体"/>
          <w:sz w:val="24"/>
        </w:rPr>
        <w:t>4、服务地点：</w:t>
      </w:r>
      <w:r>
        <w:rPr>
          <w:rFonts w:hint="eastAsia" w:ascii="宋体" w:hAnsi="宋体" w:cs="宋体"/>
          <w:sz w:val="24"/>
        </w:rPr>
        <w:t>由乙方选址，甲方同意之后，乙方集中进行检测</w:t>
      </w:r>
      <w:r>
        <w:rPr>
          <w:rFonts w:hint="eastAsia" w:ascii="宋体" w:hAnsi="宋体"/>
          <w:sz w:val="24"/>
        </w:rPr>
        <w:t>。</w:t>
      </w:r>
    </w:p>
    <w:p w14:paraId="2A194941">
      <w:pPr>
        <w:autoSpaceDE w:val="0"/>
        <w:autoSpaceDN w:val="0"/>
        <w:adjustRightInd w:val="0"/>
        <w:snapToGrid w:val="0"/>
        <w:spacing w:line="480" w:lineRule="exact"/>
        <w:ind w:firstLine="480" w:firstLineChars="200"/>
        <w:rPr>
          <w:rFonts w:ascii="宋体" w:hAnsi="宋体" w:cs="宋体"/>
          <w:b/>
          <w:sz w:val="24"/>
        </w:rPr>
      </w:pPr>
      <w:r>
        <w:rPr>
          <w:rFonts w:hint="eastAsia" w:ascii="宋体" w:hAnsi="宋体"/>
          <w:sz w:val="24"/>
        </w:rPr>
        <w:t>5、付款方式：</w:t>
      </w:r>
      <w:r>
        <w:rPr>
          <w:rFonts w:hint="eastAsia" w:ascii="宋体" w:hAnsi="宋体" w:cs="宋体"/>
          <w:b/>
          <w:sz w:val="24"/>
        </w:rPr>
        <w:t>合同签订后</w:t>
      </w:r>
      <w:r>
        <w:rPr>
          <w:rFonts w:hint="eastAsia" w:ascii="宋体" w:hAnsi="宋体" w:cs="宋体"/>
          <w:b/>
          <w:sz w:val="24"/>
          <w:lang w:val="en-US" w:eastAsia="zh-CN"/>
        </w:rPr>
        <w:t>10工作</w:t>
      </w:r>
      <w:r>
        <w:rPr>
          <w:rFonts w:hint="eastAsia" w:ascii="宋体" w:hAnsi="宋体" w:cs="宋体"/>
          <w:b/>
          <w:sz w:val="24"/>
        </w:rPr>
        <w:t>日内，甲方向乙方支付合同价款30%的预付款；乙方完成抽样检验并提供检验报告书后开具正规结算发票，甲方收到结算发票并经确认无误后</w:t>
      </w:r>
      <w:r>
        <w:rPr>
          <w:rFonts w:hint="eastAsia" w:ascii="宋体" w:hAnsi="宋体" w:cs="宋体"/>
          <w:b/>
          <w:sz w:val="24"/>
          <w:lang w:val="en-US" w:eastAsia="zh-CN"/>
        </w:rPr>
        <w:t>10</w:t>
      </w:r>
      <w:r>
        <w:rPr>
          <w:rFonts w:hint="eastAsia" w:ascii="宋体" w:hAnsi="宋体" w:cs="宋体"/>
          <w:b/>
          <w:sz w:val="24"/>
        </w:rPr>
        <w:t>日内予以结算（无息）。</w:t>
      </w:r>
    </w:p>
    <w:p w14:paraId="271C1AE1">
      <w:pPr>
        <w:spacing w:line="460" w:lineRule="exact"/>
        <w:ind w:firstLine="480"/>
        <w:rPr>
          <w:rFonts w:ascii="宋体" w:hAnsi="宋体" w:cs="宋体"/>
          <w:b/>
          <w:sz w:val="24"/>
          <w:lang w:val="zh-CN"/>
        </w:rPr>
      </w:pPr>
      <w:r>
        <w:rPr>
          <w:rFonts w:hint="eastAsia" w:ascii="宋体" w:hAnsi="宋体" w:cs="宋体"/>
          <w:sz w:val="24"/>
        </w:rPr>
        <w:t>实付款金额=甲方和乙方双方确认的检测数量×乙方的投标单价－考评扣款。</w:t>
      </w:r>
      <w:r>
        <w:rPr>
          <w:rFonts w:hint="eastAsia" w:ascii="宋体" w:hAnsi="宋体" w:cs="宋体"/>
          <w:b/>
          <w:sz w:val="24"/>
          <w:lang w:val="zh-CN"/>
        </w:rPr>
        <w:t>（如有）</w:t>
      </w:r>
    </w:p>
    <w:p w14:paraId="7C400286">
      <w:pPr>
        <w:numPr>
          <w:ilvl w:val="0"/>
          <w:numId w:val="4"/>
        </w:numPr>
        <w:spacing w:line="460" w:lineRule="exact"/>
        <w:ind w:firstLine="480"/>
        <w:rPr>
          <w:rFonts w:ascii="宋体" w:hAnsi="宋体" w:cs="宋体"/>
          <w:b/>
          <w:sz w:val="24"/>
        </w:rPr>
      </w:pPr>
      <w:r>
        <w:rPr>
          <w:rFonts w:hint="eastAsia" w:ascii="宋体" w:hAnsi="宋体" w:cs="宋体"/>
          <w:b/>
          <w:sz w:val="24"/>
        </w:rPr>
        <w:t>服务要求</w:t>
      </w:r>
    </w:p>
    <w:p w14:paraId="3EADD840">
      <w:pPr>
        <w:pStyle w:val="8"/>
        <w:spacing w:line="460" w:lineRule="exact"/>
        <w:ind w:firstLine="482"/>
        <w:rPr>
          <w:rFonts w:ascii="宋体" w:hAnsi="宋体" w:eastAsia="宋体"/>
          <w:b/>
          <w:sz w:val="24"/>
          <w:szCs w:val="24"/>
        </w:rPr>
      </w:pPr>
      <w:r>
        <w:rPr>
          <w:rFonts w:hint="eastAsia" w:ascii="宋体" w:hAnsi="宋体" w:eastAsia="宋体"/>
          <w:b/>
          <w:sz w:val="24"/>
          <w:szCs w:val="24"/>
        </w:rPr>
        <w:t>（1）本项目须成交供应商相对集中检测，每个包须至少配备5名抽样人员及10名检测人员，且有固定的办公场所及符合检测标准的快检室，经采购人同意场地由成交供应商提供，改造费用、设施设备均由成交供应商自己承担，采购人不再支付除合同外的任何费用。如快检室选址及设施设备不能满足快检要求，成交供应商有权解除合同。</w:t>
      </w:r>
    </w:p>
    <w:p w14:paraId="2E4DD59C">
      <w:pPr>
        <w:spacing w:line="460" w:lineRule="exact"/>
        <w:ind w:firstLine="482" w:firstLineChars="200"/>
        <w:rPr>
          <w:rFonts w:ascii="宋体" w:hAnsi="宋体"/>
          <w:sz w:val="24"/>
        </w:rPr>
      </w:pPr>
      <w:r>
        <w:rPr>
          <w:rFonts w:hint="eastAsia" w:ascii="宋体" w:hAnsi="宋体"/>
          <w:b/>
          <w:sz w:val="24"/>
        </w:rPr>
        <w:t>（2）</w:t>
      </w:r>
      <w:r>
        <w:rPr>
          <w:rFonts w:hint="eastAsia" w:ascii="宋体" w:hAnsi="宋体"/>
          <w:sz w:val="24"/>
        </w:rPr>
        <w:t>本项目检测室内须安装满足采购人要求的高清摄像头，摄像要求检测过程清晰可见，且检测过程须实时回放。</w:t>
      </w:r>
    </w:p>
    <w:p w14:paraId="7B088AA6">
      <w:pPr>
        <w:pStyle w:val="16"/>
        <w:spacing w:before="0" w:beforeAutospacing="0" w:after="0" w:afterAutospacing="0" w:line="460" w:lineRule="exact"/>
        <w:ind w:firstLine="480"/>
        <w:jc w:val="both"/>
      </w:pPr>
      <w:r>
        <w:rPr>
          <w:rFonts w:hint="eastAsia"/>
        </w:rPr>
        <w:t>（四）采购标的对应的中小企业划分标准所属行业一览表</w:t>
      </w:r>
    </w:p>
    <w:tbl>
      <w:tblPr>
        <w:tblStyle w:val="17"/>
        <w:tblW w:w="8928" w:type="dxa"/>
        <w:jc w:val="center"/>
        <w:tblCellSpacing w:w="0" w:type="dxa"/>
        <w:tblLayout w:type="fixed"/>
        <w:tblCellMar>
          <w:top w:w="0" w:type="dxa"/>
          <w:left w:w="108" w:type="dxa"/>
          <w:bottom w:w="0" w:type="dxa"/>
          <w:right w:w="108" w:type="dxa"/>
        </w:tblCellMar>
      </w:tblPr>
      <w:tblGrid>
        <w:gridCol w:w="1157"/>
        <w:gridCol w:w="2693"/>
        <w:gridCol w:w="5078"/>
      </w:tblGrid>
      <w:tr w14:paraId="1DB61984">
        <w:tblPrEx>
          <w:tblCellMar>
            <w:top w:w="0" w:type="dxa"/>
            <w:left w:w="108" w:type="dxa"/>
            <w:bottom w:w="0" w:type="dxa"/>
            <w:right w:w="108" w:type="dxa"/>
          </w:tblCellMar>
        </w:tblPrEx>
        <w:trPr>
          <w:trHeight w:val="1009"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11BBFF5D">
            <w:pPr>
              <w:pStyle w:val="16"/>
              <w:spacing w:beforeAutospacing="0" w:afterAutospacing="0" w:line="0" w:lineRule="atLeast"/>
              <w:jc w:val="center"/>
              <w:rPr>
                <w:b/>
              </w:rPr>
            </w:pPr>
            <w:r>
              <w:rPr>
                <w:rFonts w:hint="eastAsia"/>
                <w:b/>
              </w:rPr>
              <w:t>序号</w:t>
            </w:r>
          </w:p>
        </w:tc>
        <w:tc>
          <w:tcPr>
            <w:tcW w:w="2693" w:type="dxa"/>
            <w:tcBorders>
              <w:top w:val="single" w:color="000000" w:sz="4" w:space="0"/>
              <w:left w:val="single" w:color="000000" w:sz="4" w:space="0"/>
              <w:bottom w:val="single" w:color="000000" w:sz="4" w:space="0"/>
              <w:right w:val="single" w:color="000000" w:sz="4" w:space="0"/>
            </w:tcBorders>
            <w:vAlign w:val="center"/>
          </w:tcPr>
          <w:p w14:paraId="74404C67">
            <w:pPr>
              <w:pStyle w:val="16"/>
              <w:spacing w:beforeAutospacing="0" w:afterAutospacing="0" w:line="0" w:lineRule="atLeast"/>
              <w:jc w:val="center"/>
              <w:rPr>
                <w:b/>
              </w:rPr>
            </w:pPr>
            <w:r>
              <w:rPr>
                <w:rFonts w:hint="eastAsia"/>
                <w:b/>
              </w:rPr>
              <w:t>采购标的</w:t>
            </w:r>
          </w:p>
        </w:tc>
        <w:tc>
          <w:tcPr>
            <w:tcW w:w="5078" w:type="dxa"/>
            <w:tcBorders>
              <w:top w:val="single" w:color="000000" w:sz="4" w:space="0"/>
              <w:left w:val="single" w:color="000000" w:sz="4" w:space="0"/>
              <w:bottom w:val="single" w:color="000000" w:sz="4" w:space="0"/>
              <w:right w:val="single" w:color="000000" w:sz="4" w:space="0"/>
            </w:tcBorders>
            <w:vAlign w:val="center"/>
          </w:tcPr>
          <w:p w14:paraId="61BFFF68">
            <w:pPr>
              <w:pStyle w:val="16"/>
              <w:spacing w:beforeAutospacing="0" w:afterAutospacing="0" w:line="0" w:lineRule="atLeast"/>
              <w:jc w:val="center"/>
              <w:rPr>
                <w:b/>
              </w:rPr>
            </w:pPr>
            <w:r>
              <w:rPr>
                <w:rFonts w:hint="eastAsia"/>
                <w:b/>
              </w:rPr>
              <w:t>对应中小企业划分标准所属行业</w:t>
            </w:r>
          </w:p>
        </w:tc>
      </w:tr>
      <w:tr w14:paraId="10A7C154">
        <w:tblPrEx>
          <w:tblCellMar>
            <w:top w:w="0" w:type="dxa"/>
            <w:left w:w="108" w:type="dxa"/>
            <w:bottom w:w="0" w:type="dxa"/>
            <w:right w:w="108" w:type="dxa"/>
          </w:tblCellMar>
        </w:tblPrEx>
        <w:trPr>
          <w:trHeight w:val="983"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vAlign w:val="center"/>
          </w:tcPr>
          <w:p w14:paraId="6DFDA388">
            <w:pPr>
              <w:pStyle w:val="16"/>
              <w:spacing w:beforeAutospacing="0" w:afterAutospacing="0" w:line="0" w:lineRule="atLeast"/>
              <w:jc w:val="center"/>
              <w:rPr>
                <w:b/>
              </w:rPr>
            </w:pPr>
            <w:r>
              <w:rPr>
                <w:rFonts w:hint="eastAsia"/>
                <w:b/>
              </w:rPr>
              <w:t>1</w:t>
            </w:r>
          </w:p>
        </w:tc>
        <w:tc>
          <w:tcPr>
            <w:tcW w:w="2693" w:type="dxa"/>
            <w:tcBorders>
              <w:top w:val="single" w:color="000000" w:sz="4" w:space="0"/>
              <w:left w:val="single" w:color="000000" w:sz="4" w:space="0"/>
              <w:bottom w:val="single" w:color="000000" w:sz="4" w:space="0"/>
              <w:right w:val="single" w:color="000000" w:sz="4" w:space="0"/>
            </w:tcBorders>
            <w:vAlign w:val="center"/>
          </w:tcPr>
          <w:p w14:paraId="36779CA8">
            <w:pPr>
              <w:pStyle w:val="16"/>
              <w:spacing w:beforeAutospacing="0" w:afterAutospacing="0" w:line="0" w:lineRule="atLeast"/>
              <w:jc w:val="center"/>
              <w:rPr>
                <w:b/>
              </w:rPr>
            </w:pPr>
            <w:r>
              <w:rPr>
                <w:rFonts w:hint="eastAsia"/>
                <w:b/>
              </w:rPr>
              <w:t>食品检测服务</w:t>
            </w:r>
          </w:p>
        </w:tc>
        <w:tc>
          <w:tcPr>
            <w:tcW w:w="5078" w:type="dxa"/>
            <w:tcBorders>
              <w:top w:val="single" w:color="000000" w:sz="4" w:space="0"/>
              <w:left w:val="single" w:color="000000" w:sz="4" w:space="0"/>
              <w:bottom w:val="single" w:color="000000" w:sz="4" w:space="0"/>
              <w:right w:val="single" w:color="000000" w:sz="4" w:space="0"/>
            </w:tcBorders>
            <w:vAlign w:val="center"/>
          </w:tcPr>
          <w:p w14:paraId="25C1A370">
            <w:pPr>
              <w:pStyle w:val="16"/>
              <w:spacing w:beforeAutospacing="0" w:afterAutospacing="0" w:line="0" w:lineRule="atLeast"/>
              <w:jc w:val="center"/>
              <w:rPr>
                <w:b/>
              </w:rPr>
            </w:pPr>
            <w:r>
              <w:rPr>
                <w:rFonts w:hint="eastAsia"/>
                <w:b/>
              </w:rPr>
              <w:t>其他未列明行业（科学研究和技术服务业）</w:t>
            </w:r>
          </w:p>
        </w:tc>
      </w:tr>
    </w:tbl>
    <w:p w14:paraId="536B18E0">
      <w:pPr>
        <w:pStyle w:val="16"/>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3280283E">
      <w:pPr>
        <w:pStyle w:val="16"/>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013DB98">
      <w:pPr>
        <w:pStyle w:val="16"/>
        <w:spacing w:beforeAutospacing="0" w:afterAutospacing="0" w:line="0" w:lineRule="atLeast"/>
        <w:ind w:firstLine="480"/>
        <w:jc w:val="both"/>
        <w:rPr>
          <w:color w:val="auto"/>
          <w:sz w:val="24"/>
          <w:szCs w:val="24"/>
          <w:highlight w:val="none"/>
          <w:shd w:val="clear" w:color="auto" w:fill="auto"/>
        </w:rPr>
      </w:pPr>
      <w:r>
        <w:rPr>
          <w:color w:val="auto"/>
          <w:sz w:val="24"/>
          <w:szCs w:val="24"/>
          <w:highlight w:val="none"/>
          <w:shd w:val="clear" w:color="auto" w:fill="auto"/>
        </w:rPr>
        <w:t> </w:t>
      </w:r>
    </w:p>
    <w:p w14:paraId="63438960">
      <w:pPr>
        <w:pStyle w:val="16"/>
        <w:spacing w:beforeAutospacing="0" w:afterAutospacing="0"/>
        <w:ind w:firstLine="602"/>
        <w:jc w:val="both"/>
        <w:rPr>
          <w:color w:val="auto"/>
          <w:sz w:val="24"/>
          <w:szCs w:val="24"/>
          <w:highlight w:val="none"/>
          <w:shd w:val="clear" w:color="auto" w:fill="auto"/>
        </w:rPr>
      </w:pPr>
      <w:r>
        <w:rPr>
          <w:color w:val="auto"/>
          <w:sz w:val="24"/>
          <w:szCs w:val="24"/>
          <w:highlight w:val="none"/>
          <w:shd w:val="clear" w:color="auto" w:fill="auto"/>
        </w:rPr>
        <w:t> </w:t>
      </w:r>
    </w:p>
    <w:p w14:paraId="1450A16B">
      <w:pPr>
        <w:pStyle w:val="16"/>
        <w:spacing w:beforeAutospacing="0" w:afterAutospacing="0"/>
        <w:jc w:val="both"/>
        <w:rPr>
          <w:color w:val="auto"/>
          <w:sz w:val="24"/>
          <w:szCs w:val="24"/>
          <w:highlight w:val="none"/>
          <w:shd w:val="clear" w:color="auto" w:fill="auto"/>
        </w:rPr>
      </w:pPr>
      <w:r>
        <w:rPr>
          <w:color w:val="auto"/>
          <w:sz w:val="24"/>
          <w:szCs w:val="24"/>
          <w:highlight w:val="none"/>
          <w:shd w:val="clear" w:color="auto" w:fill="auto"/>
        </w:rPr>
        <w:t> </w:t>
      </w:r>
    </w:p>
    <w:p w14:paraId="04CDADF4">
      <w:pPr>
        <w:pStyle w:val="16"/>
        <w:tabs>
          <w:tab w:val="left" w:pos="6205"/>
        </w:tabs>
        <w:spacing w:beforeAutospacing="0" w:afterAutospacing="0"/>
        <w:jc w:val="both"/>
        <w:rPr>
          <w:color w:val="auto"/>
          <w:sz w:val="24"/>
          <w:szCs w:val="24"/>
          <w:highlight w:val="none"/>
          <w:shd w:val="clear" w:color="auto" w:fill="auto"/>
        </w:rPr>
      </w:pPr>
      <w:r>
        <w:rPr>
          <w:color w:val="auto"/>
          <w:sz w:val="24"/>
          <w:szCs w:val="24"/>
          <w:highlight w:val="none"/>
          <w:shd w:val="clear" w:color="auto" w:fill="auto"/>
        </w:rPr>
        <w:t> </w:t>
      </w:r>
    </w:p>
    <w:p w14:paraId="2629703C">
      <w:pPr>
        <w:pStyle w:val="16"/>
        <w:tabs>
          <w:tab w:val="left" w:pos="6205"/>
        </w:tabs>
        <w:spacing w:beforeAutospacing="0" w:afterAutospacing="0"/>
        <w:jc w:val="both"/>
        <w:rPr>
          <w:color w:val="auto"/>
          <w:sz w:val="24"/>
          <w:szCs w:val="24"/>
          <w:highlight w:val="none"/>
          <w:shd w:val="clear" w:color="auto" w:fill="auto"/>
        </w:rPr>
      </w:pPr>
      <w:r>
        <w:rPr>
          <w:color w:val="auto"/>
          <w:sz w:val="24"/>
          <w:szCs w:val="24"/>
          <w:highlight w:val="none"/>
          <w:shd w:val="clear" w:color="auto" w:fill="auto"/>
        </w:rPr>
        <w:t> </w:t>
      </w:r>
    </w:p>
    <w:p w14:paraId="00CFFBA5">
      <w:pPr>
        <w:pStyle w:val="16"/>
        <w:tabs>
          <w:tab w:val="left" w:pos="6205"/>
        </w:tabs>
        <w:spacing w:beforeAutospacing="0" w:afterAutospacing="0"/>
        <w:jc w:val="both"/>
        <w:rPr>
          <w:color w:val="auto"/>
          <w:sz w:val="24"/>
          <w:szCs w:val="24"/>
          <w:highlight w:val="none"/>
          <w:shd w:val="clear" w:color="auto" w:fill="auto"/>
        </w:rPr>
      </w:pPr>
    </w:p>
    <w:p w14:paraId="2851DC52">
      <w:pPr>
        <w:pStyle w:val="16"/>
        <w:tabs>
          <w:tab w:val="left" w:pos="6205"/>
        </w:tabs>
        <w:spacing w:beforeAutospacing="0" w:afterAutospacing="0"/>
        <w:jc w:val="both"/>
        <w:rPr>
          <w:color w:val="auto"/>
          <w:sz w:val="24"/>
          <w:szCs w:val="24"/>
          <w:highlight w:val="none"/>
          <w:shd w:val="clear" w:color="auto" w:fill="auto"/>
        </w:rPr>
      </w:pPr>
    </w:p>
    <w:p w14:paraId="21F60FD3">
      <w:pPr>
        <w:pStyle w:val="16"/>
        <w:tabs>
          <w:tab w:val="left" w:pos="6205"/>
        </w:tabs>
        <w:spacing w:beforeAutospacing="0" w:afterAutospacing="0"/>
        <w:jc w:val="both"/>
        <w:rPr>
          <w:color w:val="auto"/>
          <w:sz w:val="24"/>
          <w:szCs w:val="24"/>
          <w:highlight w:val="none"/>
          <w:shd w:val="clear" w:color="auto" w:fill="auto"/>
        </w:rPr>
      </w:pPr>
    </w:p>
    <w:p w14:paraId="0CAEE4C4">
      <w:pPr>
        <w:pStyle w:val="16"/>
        <w:tabs>
          <w:tab w:val="left" w:pos="6205"/>
        </w:tabs>
        <w:spacing w:beforeAutospacing="0" w:afterAutospacing="0"/>
        <w:jc w:val="both"/>
        <w:rPr>
          <w:color w:val="auto"/>
          <w:sz w:val="24"/>
          <w:szCs w:val="24"/>
          <w:highlight w:val="none"/>
          <w:shd w:val="clear" w:color="auto" w:fill="auto"/>
        </w:rPr>
      </w:pPr>
    </w:p>
    <w:p w14:paraId="39DE15E9">
      <w:pPr>
        <w:pStyle w:val="16"/>
        <w:tabs>
          <w:tab w:val="left" w:pos="6205"/>
        </w:tabs>
        <w:spacing w:beforeAutospacing="0" w:afterAutospacing="0"/>
        <w:jc w:val="both"/>
        <w:rPr>
          <w:color w:val="auto"/>
          <w:sz w:val="24"/>
          <w:szCs w:val="24"/>
          <w:highlight w:val="none"/>
          <w:shd w:val="clear" w:color="auto" w:fill="auto"/>
        </w:rPr>
      </w:pPr>
    </w:p>
    <w:p w14:paraId="5DE86D2F">
      <w:pPr>
        <w:pStyle w:val="16"/>
        <w:tabs>
          <w:tab w:val="left" w:pos="6205"/>
        </w:tabs>
        <w:spacing w:beforeAutospacing="0" w:afterAutospacing="0"/>
        <w:jc w:val="both"/>
        <w:rPr>
          <w:color w:val="auto"/>
          <w:sz w:val="24"/>
          <w:szCs w:val="24"/>
          <w:highlight w:val="none"/>
          <w:shd w:val="clear" w:color="auto" w:fill="auto"/>
        </w:rPr>
      </w:pPr>
    </w:p>
    <w:p w14:paraId="0B79C222">
      <w:pPr>
        <w:pStyle w:val="16"/>
        <w:tabs>
          <w:tab w:val="left" w:pos="6205"/>
        </w:tabs>
        <w:spacing w:beforeAutospacing="0" w:afterAutospacing="0"/>
        <w:jc w:val="both"/>
        <w:rPr>
          <w:color w:val="auto"/>
          <w:sz w:val="24"/>
          <w:szCs w:val="24"/>
          <w:highlight w:val="none"/>
          <w:shd w:val="clear" w:color="auto" w:fill="auto"/>
        </w:rPr>
      </w:pPr>
    </w:p>
    <w:p w14:paraId="46CCB4F4">
      <w:pPr>
        <w:pStyle w:val="16"/>
        <w:tabs>
          <w:tab w:val="left" w:pos="6205"/>
        </w:tabs>
        <w:spacing w:beforeAutospacing="0" w:afterAutospacing="0"/>
        <w:jc w:val="both"/>
        <w:rPr>
          <w:color w:val="auto"/>
          <w:sz w:val="24"/>
          <w:szCs w:val="24"/>
          <w:highlight w:val="none"/>
          <w:shd w:val="clear" w:color="auto" w:fill="auto"/>
        </w:rPr>
      </w:pPr>
    </w:p>
    <w:p w14:paraId="3B1721F5">
      <w:pPr>
        <w:pStyle w:val="16"/>
        <w:tabs>
          <w:tab w:val="left" w:pos="6205"/>
        </w:tabs>
        <w:spacing w:beforeAutospacing="0" w:afterAutospacing="0"/>
        <w:jc w:val="both"/>
        <w:rPr>
          <w:color w:val="auto"/>
          <w:sz w:val="24"/>
          <w:szCs w:val="24"/>
          <w:highlight w:val="none"/>
          <w:shd w:val="clear" w:color="auto" w:fill="auto"/>
        </w:rPr>
      </w:pPr>
    </w:p>
    <w:p w14:paraId="7632FB55">
      <w:pPr>
        <w:pStyle w:val="16"/>
        <w:tabs>
          <w:tab w:val="left" w:pos="6205"/>
        </w:tabs>
        <w:spacing w:beforeAutospacing="0" w:afterAutospacing="0"/>
        <w:jc w:val="both"/>
        <w:rPr>
          <w:color w:val="auto"/>
          <w:sz w:val="24"/>
          <w:szCs w:val="24"/>
          <w:highlight w:val="none"/>
          <w:shd w:val="clear" w:color="auto" w:fill="auto"/>
        </w:rPr>
      </w:pPr>
    </w:p>
    <w:p w14:paraId="03ABA69E">
      <w:pPr>
        <w:pStyle w:val="16"/>
        <w:tabs>
          <w:tab w:val="left" w:pos="6205"/>
        </w:tabs>
        <w:spacing w:beforeAutospacing="0" w:afterAutospacing="0"/>
        <w:jc w:val="both"/>
        <w:rPr>
          <w:color w:val="auto"/>
          <w:sz w:val="24"/>
          <w:szCs w:val="24"/>
          <w:highlight w:val="none"/>
          <w:shd w:val="clear" w:color="auto" w:fill="auto"/>
        </w:rPr>
      </w:pPr>
    </w:p>
    <w:p w14:paraId="3AFE7C24">
      <w:pPr>
        <w:pStyle w:val="16"/>
        <w:tabs>
          <w:tab w:val="left" w:pos="6205"/>
        </w:tabs>
        <w:spacing w:beforeAutospacing="0" w:afterAutospacing="0"/>
        <w:jc w:val="both"/>
        <w:rPr>
          <w:color w:val="auto"/>
          <w:sz w:val="24"/>
          <w:szCs w:val="24"/>
          <w:highlight w:val="none"/>
          <w:shd w:val="clear" w:color="auto" w:fill="auto"/>
        </w:rPr>
      </w:pPr>
    </w:p>
    <w:p w14:paraId="382319BE">
      <w:pPr>
        <w:pStyle w:val="16"/>
        <w:tabs>
          <w:tab w:val="left" w:pos="6205"/>
        </w:tabs>
        <w:spacing w:beforeAutospacing="0" w:afterAutospacing="0"/>
        <w:jc w:val="both"/>
        <w:rPr>
          <w:color w:val="auto"/>
          <w:sz w:val="24"/>
          <w:szCs w:val="24"/>
          <w:highlight w:val="none"/>
          <w:shd w:val="clear" w:color="auto" w:fill="auto"/>
        </w:rPr>
      </w:pPr>
    </w:p>
    <w:p w14:paraId="673E4E44">
      <w:pPr>
        <w:pStyle w:val="16"/>
        <w:tabs>
          <w:tab w:val="left" w:pos="6205"/>
        </w:tabs>
        <w:spacing w:beforeAutospacing="0" w:afterAutospacing="0"/>
        <w:jc w:val="both"/>
        <w:rPr>
          <w:color w:val="auto"/>
          <w:sz w:val="24"/>
          <w:szCs w:val="24"/>
          <w:highlight w:val="none"/>
          <w:shd w:val="clear" w:color="auto" w:fill="auto"/>
        </w:rPr>
      </w:pPr>
    </w:p>
    <w:p w14:paraId="4A161F38">
      <w:pPr>
        <w:pStyle w:val="16"/>
        <w:tabs>
          <w:tab w:val="left" w:pos="6205"/>
        </w:tabs>
        <w:spacing w:beforeAutospacing="0" w:afterAutospacing="0"/>
        <w:jc w:val="both"/>
        <w:rPr>
          <w:color w:val="auto"/>
          <w:sz w:val="24"/>
          <w:szCs w:val="24"/>
          <w:highlight w:val="none"/>
          <w:shd w:val="clear" w:color="auto" w:fill="auto"/>
        </w:rPr>
      </w:pPr>
    </w:p>
    <w:p w14:paraId="17B277D8">
      <w:pPr>
        <w:pStyle w:val="16"/>
        <w:tabs>
          <w:tab w:val="left" w:pos="6205"/>
        </w:tabs>
        <w:spacing w:beforeAutospacing="0" w:afterAutospacing="0"/>
        <w:jc w:val="both"/>
        <w:rPr>
          <w:color w:val="auto"/>
          <w:sz w:val="24"/>
          <w:szCs w:val="24"/>
          <w:highlight w:val="none"/>
          <w:shd w:val="clear" w:color="auto" w:fill="auto"/>
        </w:rPr>
      </w:pPr>
    </w:p>
    <w:p w14:paraId="0F0BBD15">
      <w:pPr>
        <w:pStyle w:val="16"/>
        <w:tabs>
          <w:tab w:val="left" w:pos="6205"/>
        </w:tabs>
        <w:spacing w:beforeAutospacing="0" w:afterAutospacing="0"/>
        <w:jc w:val="both"/>
        <w:rPr>
          <w:color w:val="auto"/>
          <w:sz w:val="24"/>
          <w:szCs w:val="24"/>
          <w:highlight w:val="none"/>
          <w:shd w:val="clear" w:color="auto" w:fill="auto"/>
        </w:rPr>
      </w:pPr>
    </w:p>
    <w:p w14:paraId="2B3D57C3">
      <w:pPr>
        <w:jc w:val="center"/>
        <w:rPr>
          <w:color w:val="auto"/>
          <w:sz w:val="21"/>
          <w:szCs w:val="24"/>
          <w:highlight w:val="none"/>
        </w:rPr>
      </w:pPr>
      <w:bookmarkStart w:id="169"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69"/>
    </w:p>
    <w:p w14:paraId="11AEE45A">
      <w:pPr>
        <w:pStyle w:val="16"/>
        <w:spacing w:beforeAutospacing="0" w:afterAutospacing="0"/>
        <w:jc w:val="both"/>
        <w:rPr>
          <w:color w:val="auto"/>
          <w:sz w:val="24"/>
          <w:szCs w:val="24"/>
          <w:highlight w:val="none"/>
        </w:rPr>
      </w:pPr>
      <w:r>
        <w:rPr>
          <w:color w:val="auto"/>
          <w:sz w:val="24"/>
          <w:szCs w:val="24"/>
          <w:highlight w:val="none"/>
        </w:rPr>
        <w:t> </w:t>
      </w:r>
    </w:p>
    <w:p w14:paraId="668FEA9F">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543B1034">
      <w:pPr>
        <w:pStyle w:val="24"/>
        <w:spacing w:before="0" w:after="0" w:line="500" w:lineRule="exact"/>
        <w:rPr>
          <w:rFonts w:hint="eastAsia" w:ascii="宋体" w:hAnsi="宋体" w:eastAsia="宋体" w:cs="宋体"/>
          <w:b w:val="0"/>
          <w:bCs w:val="0"/>
          <w:i w:val="0"/>
          <w:iCs w:val="0"/>
          <w:caps w:val="0"/>
          <w:color w:val="333333"/>
          <w:spacing w:val="0"/>
          <w:kern w:val="0"/>
          <w:sz w:val="24"/>
          <w:szCs w:val="24"/>
          <w:shd w:val="clear" w:fill="FFFFFF"/>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本项目采用综合评分法，经磋商确定最终采购需求和提交最后报价的供应商后，由磋商小组采用综合评分法对提交最后报价的供应商的响应文件和最后报价进行综合评分。</w:t>
      </w:r>
    </w:p>
    <w:p w14:paraId="22E3F846">
      <w:pPr>
        <w:pStyle w:val="24"/>
        <w:spacing w:before="0" w:after="0" w:line="500" w:lineRule="exact"/>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供应商的评审方法，本项目选取1名成交供应商。</w:t>
      </w:r>
    </w:p>
    <w:p w14:paraId="318E8BC8">
      <w:pPr>
        <w:tabs>
          <w:tab w:val="left" w:pos="900"/>
        </w:tabs>
        <w:spacing w:line="500" w:lineRule="exact"/>
        <w:ind w:firstLine="482"/>
        <w:rPr>
          <w:rFonts w:ascii="宋体" w:hAnsi="宋体" w:cs="Courier New"/>
          <w:b/>
          <w:bCs/>
          <w:sz w:val="24"/>
        </w:rPr>
      </w:pPr>
      <w:r>
        <w:rPr>
          <w:rFonts w:hint="eastAsia" w:ascii="宋体" w:hAnsi="宋体" w:cs="Courier New"/>
          <w:b/>
          <w:bCs/>
          <w:sz w:val="24"/>
        </w:rPr>
        <w:t>政府采购政策功能落实</w:t>
      </w:r>
    </w:p>
    <w:p w14:paraId="449555FE">
      <w:pPr>
        <w:keepNext w:val="0"/>
        <w:keepLines w:val="0"/>
        <w:pageBreakBefore w:val="0"/>
        <w:widowControl w:val="0"/>
        <w:kinsoku/>
        <w:wordWrap/>
        <w:overflowPunct/>
        <w:topLinePunct w:val="0"/>
        <w:autoSpaceDE/>
        <w:autoSpaceDN/>
        <w:bidi w:val="0"/>
        <w:adjustRightInd/>
        <w:spacing w:line="500" w:lineRule="exact"/>
        <w:ind w:firstLine="482"/>
        <w:textAlignment w:val="auto"/>
      </w:pPr>
      <w:r>
        <w:rPr>
          <w:rFonts w:hint="eastAsia" w:ascii="宋体" w:hAnsi="宋体"/>
          <w:b/>
          <w:sz w:val="24"/>
        </w:rPr>
        <w:t>本项目为专门面向中小企业采购的项目，不再执行价格评审优惠的扶持政策。</w:t>
      </w:r>
    </w:p>
    <w:p w14:paraId="62176F70">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评审方法与评审标准</w:t>
      </w:r>
    </w:p>
    <w:p w14:paraId="19C8C68F">
      <w:pPr>
        <w:pStyle w:val="16"/>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17"/>
        <w:tblW w:w="51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1148"/>
        <w:gridCol w:w="1028"/>
        <w:gridCol w:w="7284"/>
      </w:tblGrid>
      <w:tr w14:paraId="1718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77" w:type="pct"/>
            <w:vAlign w:val="center"/>
          </w:tcPr>
          <w:p w14:paraId="3010BF0D">
            <w:pPr>
              <w:spacing w:line="360" w:lineRule="exact"/>
              <w:jc w:val="center"/>
              <w:rPr>
                <w:rFonts w:ascii="宋体" w:hAnsi="宋体"/>
                <w:b/>
                <w:sz w:val="24"/>
              </w:rPr>
            </w:pPr>
            <w:r>
              <w:rPr>
                <w:rFonts w:hint="eastAsia" w:ascii="宋体" w:hAnsi="宋体"/>
                <w:b/>
                <w:sz w:val="24"/>
              </w:rPr>
              <w:t>序号</w:t>
            </w:r>
          </w:p>
        </w:tc>
        <w:tc>
          <w:tcPr>
            <w:tcW w:w="1063" w:type="pct"/>
            <w:gridSpan w:val="2"/>
            <w:vAlign w:val="center"/>
          </w:tcPr>
          <w:p w14:paraId="0D7E1E08">
            <w:pPr>
              <w:spacing w:line="360" w:lineRule="exact"/>
              <w:jc w:val="center"/>
              <w:rPr>
                <w:rFonts w:ascii="宋体" w:hAnsi="宋体"/>
                <w:b/>
                <w:sz w:val="24"/>
              </w:rPr>
            </w:pPr>
            <w:r>
              <w:rPr>
                <w:rFonts w:hint="eastAsia" w:ascii="宋体" w:hAnsi="宋体"/>
                <w:b/>
                <w:sz w:val="24"/>
              </w:rPr>
              <w:t>评分项</w:t>
            </w:r>
          </w:p>
        </w:tc>
        <w:tc>
          <w:tcPr>
            <w:tcW w:w="3558" w:type="pct"/>
            <w:vAlign w:val="center"/>
          </w:tcPr>
          <w:p w14:paraId="3A52D73F">
            <w:pPr>
              <w:spacing w:line="360" w:lineRule="exact"/>
              <w:jc w:val="center"/>
              <w:rPr>
                <w:rFonts w:ascii="宋体" w:hAnsi="宋体"/>
                <w:b/>
                <w:sz w:val="24"/>
              </w:rPr>
            </w:pPr>
            <w:r>
              <w:rPr>
                <w:rFonts w:hint="eastAsia" w:ascii="宋体" w:hAnsi="宋体"/>
                <w:b/>
                <w:sz w:val="24"/>
              </w:rPr>
              <w:t>评分标准</w:t>
            </w:r>
          </w:p>
        </w:tc>
      </w:tr>
      <w:tr w14:paraId="78A3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1EBB59F8">
            <w:pPr>
              <w:spacing w:line="360" w:lineRule="exact"/>
              <w:jc w:val="center"/>
              <w:rPr>
                <w:rFonts w:ascii="宋体" w:hAnsi="宋体"/>
                <w:szCs w:val="21"/>
              </w:rPr>
            </w:pPr>
            <w:r>
              <w:rPr>
                <w:rFonts w:hint="eastAsia" w:ascii="宋体" w:hAnsi="宋体"/>
                <w:szCs w:val="21"/>
              </w:rPr>
              <w:t>1</w:t>
            </w:r>
          </w:p>
        </w:tc>
        <w:tc>
          <w:tcPr>
            <w:tcW w:w="1063" w:type="pct"/>
            <w:gridSpan w:val="2"/>
            <w:vAlign w:val="center"/>
          </w:tcPr>
          <w:p w14:paraId="147736EB">
            <w:pPr>
              <w:spacing w:line="360" w:lineRule="exact"/>
              <w:jc w:val="center"/>
              <w:rPr>
                <w:rFonts w:ascii="宋体" w:hAnsi="宋体"/>
                <w:szCs w:val="21"/>
              </w:rPr>
            </w:pPr>
            <w:r>
              <w:rPr>
                <w:rFonts w:hint="eastAsia" w:ascii="宋体" w:hAnsi="宋体"/>
                <w:szCs w:val="21"/>
              </w:rPr>
              <w:t>价格部分（</w:t>
            </w:r>
            <w:r>
              <w:rPr>
                <w:rFonts w:hint="eastAsia" w:ascii="宋体" w:hAnsi="宋体"/>
                <w:szCs w:val="21"/>
                <w:lang w:val="en-US" w:eastAsia="zh-CN"/>
              </w:rPr>
              <w:t>12</w:t>
            </w:r>
            <w:r>
              <w:rPr>
                <w:rFonts w:hint="eastAsia" w:ascii="宋体" w:hAnsi="宋体"/>
                <w:szCs w:val="21"/>
              </w:rPr>
              <w:t>分）</w:t>
            </w:r>
          </w:p>
        </w:tc>
        <w:tc>
          <w:tcPr>
            <w:tcW w:w="3558" w:type="pct"/>
            <w:vAlign w:val="center"/>
          </w:tcPr>
          <w:p w14:paraId="3C829536">
            <w:pPr>
              <w:spacing w:line="360" w:lineRule="exact"/>
              <w:rPr>
                <w:rFonts w:ascii="宋体" w:hAnsi="宋体"/>
                <w:szCs w:val="21"/>
              </w:rPr>
            </w:pPr>
            <w:r>
              <w:rPr>
                <w:rFonts w:hint="eastAsia" w:ascii="宋体" w:hAnsi="宋体" w:cs="Arial"/>
                <w:szCs w:val="21"/>
              </w:rPr>
              <w:t>价格分统一采用低价优先法计算，即满足磋商文件要求且最后报价最低（未超采购最高限价）的投标人的价格为磋商基准价，其价格分为满分。其他投标人的价格分统一按照下列公式计算：磋商报价得分=（磋商基准价/最终磋商报价）×1</w:t>
            </w:r>
            <w:r>
              <w:rPr>
                <w:rFonts w:hint="eastAsia" w:ascii="宋体" w:hAnsi="宋体" w:cs="Arial"/>
                <w:szCs w:val="21"/>
                <w:lang w:val="en-US" w:eastAsia="zh-CN"/>
              </w:rPr>
              <w:t>2</w:t>
            </w:r>
            <w:r>
              <w:rPr>
                <w:rFonts w:hint="eastAsia" w:ascii="宋体" w:hAnsi="宋体" w:cs="Arial"/>
                <w:szCs w:val="21"/>
              </w:rPr>
              <w:t>。（得分保留两位小数）</w:t>
            </w:r>
          </w:p>
        </w:tc>
      </w:tr>
      <w:tr w14:paraId="3968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21A37437">
            <w:pPr>
              <w:spacing w:line="360" w:lineRule="exact"/>
              <w:jc w:val="center"/>
              <w:rPr>
                <w:rFonts w:ascii="宋体" w:hAnsi="宋体"/>
                <w:szCs w:val="21"/>
              </w:rPr>
            </w:pPr>
            <w:r>
              <w:rPr>
                <w:rFonts w:hint="eastAsia" w:ascii="宋体" w:hAnsi="宋体"/>
                <w:szCs w:val="21"/>
              </w:rPr>
              <w:t>2</w:t>
            </w:r>
          </w:p>
        </w:tc>
        <w:tc>
          <w:tcPr>
            <w:tcW w:w="561" w:type="pct"/>
            <w:vMerge w:val="restart"/>
            <w:vAlign w:val="center"/>
          </w:tcPr>
          <w:p w14:paraId="16AE2173">
            <w:pPr>
              <w:spacing w:line="360" w:lineRule="exact"/>
              <w:jc w:val="center"/>
              <w:rPr>
                <w:rFonts w:ascii="宋体" w:hAnsi="宋体"/>
                <w:szCs w:val="21"/>
              </w:rPr>
            </w:pPr>
          </w:p>
          <w:p w14:paraId="3145E67C">
            <w:pPr>
              <w:spacing w:line="360" w:lineRule="exact"/>
              <w:jc w:val="center"/>
              <w:rPr>
                <w:rFonts w:ascii="宋体" w:hAnsi="宋体"/>
                <w:szCs w:val="21"/>
              </w:rPr>
            </w:pPr>
          </w:p>
          <w:p w14:paraId="61A7F53E">
            <w:pPr>
              <w:spacing w:line="360" w:lineRule="exact"/>
              <w:jc w:val="center"/>
              <w:rPr>
                <w:rFonts w:ascii="宋体" w:hAnsi="宋体"/>
                <w:szCs w:val="21"/>
              </w:rPr>
            </w:pPr>
          </w:p>
          <w:p w14:paraId="03782F55">
            <w:pPr>
              <w:spacing w:line="360" w:lineRule="exact"/>
              <w:jc w:val="center"/>
              <w:rPr>
                <w:rFonts w:ascii="宋体" w:hAnsi="宋体"/>
                <w:szCs w:val="21"/>
              </w:rPr>
            </w:pPr>
          </w:p>
          <w:p w14:paraId="34BC8142">
            <w:pPr>
              <w:spacing w:line="360" w:lineRule="exact"/>
              <w:jc w:val="center"/>
              <w:rPr>
                <w:rFonts w:ascii="宋体" w:hAnsi="宋体"/>
                <w:szCs w:val="21"/>
              </w:rPr>
            </w:pPr>
          </w:p>
          <w:p w14:paraId="3EB78F5A">
            <w:pPr>
              <w:spacing w:line="360" w:lineRule="exact"/>
              <w:jc w:val="center"/>
              <w:rPr>
                <w:rFonts w:ascii="宋体" w:hAnsi="宋体"/>
                <w:szCs w:val="21"/>
              </w:rPr>
            </w:pPr>
          </w:p>
          <w:p w14:paraId="23034963">
            <w:pPr>
              <w:spacing w:line="360" w:lineRule="exact"/>
              <w:jc w:val="center"/>
              <w:rPr>
                <w:rFonts w:ascii="宋体" w:hAnsi="宋体"/>
                <w:szCs w:val="21"/>
              </w:rPr>
            </w:pPr>
          </w:p>
          <w:p w14:paraId="50231EB3">
            <w:pPr>
              <w:spacing w:line="360" w:lineRule="exact"/>
              <w:jc w:val="center"/>
              <w:rPr>
                <w:rFonts w:ascii="宋体" w:hAnsi="宋体"/>
                <w:szCs w:val="21"/>
              </w:rPr>
            </w:pPr>
          </w:p>
          <w:p w14:paraId="6E5D9AA8">
            <w:pPr>
              <w:spacing w:line="360" w:lineRule="exact"/>
              <w:jc w:val="center"/>
              <w:rPr>
                <w:rFonts w:ascii="宋体" w:hAnsi="宋体"/>
                <w:szCs w:val="21"/>
              </w:rPr>
            </w:pPr>
          </w:p>
          <w:p w14:paraId="180312E0">
            <w:pPr>
              <w:spacing w:line="360" w:lineRule="exact"/>
              <w:jc w:val="center"/>
              <w:rPr>
                <w:rFonts w:ascii="宋体" w:hAnsi="宋体"/>
                <w:szCs w:val="21"/>
              </w:rPr>
            </w:pPr>
          </w:p>
          <w:p w14:paraId="48F7C7F5">
            <w:pPr>
              <w:spacing w:line="360" w:lineRule="exact"/>
              <w:jc w:val="center"/>
              <w:rPr>
                <w:rFonts w:ascii="宋体" w:hAnsi="宋体"/>
                <w:szCs w:val="21"/>
              </w:rPr>
            </w:pPr>
          </w:p>
          <w:p w14:paraId="64BEDEC3">
            <w:pPr>
              <w:spacing w:line="360" w:lineRule="exact"/>
              <w:jc w:val="center"/>
              <w:rPr>
                <w:rFonts w:ascii="宋体" w:hAnsi="宋体"/>
                <w:szCs w:val="21"/>
              </w:rPr>
            </w:pPr>
          </w:p>
          <w:p w14:paraId="0974DA1A">
            <w:pPr>
              <w:spacing w:line="360" w:lineRule="exact"/>
              <w:jc w:val="center"/>
              <w:rPr>
                <w:rFonts w:ascii="宋体" w:hAnsi="宋体"/>
                <w:szCs w:val="21"/>
              </w:rPr>
            </w:pPr>
          </w:p>
          <w:p w14:paraId="62DFC334">
            <w:pPr>
              <w:spacing w:line="360" w:lineRule="exact"/>
              <w:jc w:val="center"/>
              <w:rPr>
                <w:rFonts w:ascii="宋体" w:hAnsi="宋体"/>
                <w:szCs w:val="21"/>
              </w:rPr>
            </w:pPr>
          </w:p>
          <w:p w14:paraId="3D507EBA">
            <w:pPr>
              <w:spacing w:line="360" w:lineRule="exact"/>
              <w:jc w:val="center"/>
              <w:rPr>
                <w:rFonts w:ascii="宋体" w:hAnsi="宋体"/>
                <w:szCs w:val="21"/>
              </w:rPr>
            </w:pPr>
          </w:p>
          <w:p w14:paraId="541A816E">
            <w:pPr>
              <w:spacing w:line="360" w:lineRule="exact"/>
              <w:jc w:val="center"/>
              <w:rPr>
                <w:rFonts w:ascii="宋体" w:hAnsi="宋体"/>
                <w:szCs w:val="21"/>
              </w:rPr>
            </w:pPr>
          </w:p>
          <w:p w14:paraId="17E44D54">
            <w:pPr>
              <w:spacing w:line="360" w:lineRule="exact"/>
              <w:jc w:val="center"/>
              <w:rPr>
                <w:rFonts w:ascii="宋体" w:hAnsi="宋体"/>
                <w:szCs w:val="21"/>
              </w:rPr>
            </w:pPr>
            <w:r>
              <w:rPr>
                <w:rFonts w:hint="eastAsia" w:ascii="宋体" w:hAnsi="宋体"/>
                <w:szCs w:val="21"/>
              </w:rPr>
              <w:t>投标人实力(</w:t>
            </w:r>
            <w:r>
              <w:rPr>
                <w:rFonts w:hint="eastAsia" w:ascii="宋体" w:hAnsi="宋体"/>
                <w:szCs w:val="21"/>
                <w:lang w:val="en-US" w:eastAsia="zh-CN"/>
              </w:rPr>
              <w:t>48</w:t>
            </w:r>
            <w:r>
              <w:rPr>
                <w:rFonts w:hint="eastAsia" w:ascii="宋体" w:hAnsi="宋体"/>
                <w:szCs w:val="21"/>
              </w:rPr>
              <w:t>分)</w:t>
            </w:r>
          </w:p>
        </w:tc>
        <w:tc>
          <w:tcPr>
            <w:tcW w:w="501" w:type="pct"/>
            <w:vAlign w:val="center"/>
          </w:tcPr>
          <w:p w14:paraId="2C77465D">
            <w:pPr>
              <w:spacing w:line="360" w:lineRule="exact"/>
              <w:jc w:val="center"/>
              <w:rPr>
                <w:rFonts w:ascii="宋体" w:hAnsi="宋体"/>
                <w:szCs w:val="21"/>
              </w:rPr>
            </w:pPr>
            <w:r>
              <w:rPr>
                <w:rFonts w:hint="eastAsia" w:ascii="宋体" w:hAnsi="宋体"/>
                <w:szCs w:val="21"/>
              </w:rPr>
              <w:t>资质能力(33分)</w:t>
            </w:r>
          </w:p>
        </w:tc>
        <w:tc>
          <w:tcPr>
            <w:tcW w:w="3558" w:type="pct"/>
            <w:vAlign w:val="center"/>
          </w:tcPr>
          <w:p w14:paraId="76D3361F">
            <w:pPr>
              <w:spacing w:line="360" w:lineRule="exact"/>
              <w:rPr>
                <w:rFonts w:ascii="宋体" w:hAnsi="宋体" w:cs="宋体"/>
                <w:b/>
                <w:bCs/>
                <w:sz w:val="22"/>
                <w:szCs w:val="22"/>
              </w:rPr>
            </w:pPr>
            <w:r>
              <w:rPr>
                <w:rFonts w:hint="eastAsia" w:ascii="宋体" w:hAnsi="宋体" w:cs="Arial"/>
                <w:szCs w:val="21"/>
              </w:rPr>
              <w:t>1.</w:t>
            </w:r>
            <w:r>
              <w:rPr>
                <w:rFonts w:hint="eastAsia" w:ascii="宋体" w:hAnsi="宋体" w:cs="宋体"/>
                <w:sz w:val="22"/>
                <w:szCs w:val="20"/>
              </w:rPr>
              <w:t>投标人</w:t>
            </w:r>
            <w:r>
              <w:rPr>
                <w:rFonts w:hint="eastAsia" w:ascii="宋体" w:hAnsi="宋体" w:cs="Arial"/>
                <w:szCs w:val="21"/>
              </w:rPr>
              <w:t>须提供有效期内的IS09001质量管理体系认证、IS014001环境管理体系认证、IS045001职业健康安全管理体系认证、IS027001信息安全管理体系认证，每个得2分，满分8分。</w:t>
            </w:r>
            <w:r>
              <w:rPr>
                <w:rFonts w:hint="eastAsia" w:ascii="宋体" w:hAnsi="宋体" w:cs="宋体"/>
                <w:b/>
                <w:bCs/>
                <w:sz w:val="22"/>
                <w:szCs w:val="22"/>
              </w:rPr>
              <w:t>(须提供有效的认证证书扫描件</w:t>
            </w:r>
            <w:r>
              <w:rPr>
                <w:rFonts w:hint="eastAsia" w:ascii="宋体" w:hAnsi="宋体" w:cs="Arial"/>
                <w:szCs w:val="21"/>
              </w:rPr>
              <w:t>，</w:t>
            </w:r>
            <w:r>
              <w:rPr>
                <w:rFonts w:hint="eastAsia" w:ascii="宋体" w:hAnsi="宋体" w:cs="宋体"/>
                <w:b/>
                <w:bCs/>
                <w:sz w:val="22"/>
                <w:szCs w:val="22"/>
              </w:rPr>
              <w:t>如提供的是所投</w:t>
            </w:r>
            <w:r>
              <w:rPr>
                <w:rFonts w:hint="eastAsia" w:ascii="宋体" w:hAnsi="宋体" w:cs="宋体"/>
                <w:b/>
                <w:bCs/>
                <w:sz w:val="22"/>
                <w:szCs w:val="22"/>
                <w:lang w:val="en-US" w:eastAsia="zh-CN"/>
              </w:rPr>
              <w:t>入</w:t>
            </w:r>
            <w:r>
              <w:rPr>
                <w:rFonts w:hint="eastAsia" w:ascii="宋体" w:hAnsi="宋体" w:cs="宋体"/>
                <w:b/>
                <w:bCs/>
                <w:sz w:val="22"/>
                <w:szCs w:val="22"/>
              </w:rPr>
              <w:t>产品供应商体系认证证书需提供项目授权书)</w:t>
            </w:r>
          </w:p>
          <w:p w14:paraId="1FD04963">
            <w:pPr>
              <w:spacing w:line="360" w:lineRule="exact"/>
              <w:rPr>
                <w:rFonts w:ascii="宋体" w:hAnsi="宋体" w:cs="宋体"/>
                <w:b/>
                <w:bCs/>
                <w:sz w:val="22"/>
                <w:szCs w:val="22"/>
              </w:rPr>
            </w:pPr>
            <w:r>
              <w:rPr>
                <w:rFonts w:hint="eastAsia" w:ascii="宋体" w:hAnsi="宋体" w:cs="Arial"/>
                <w:szCs w:val="21"/>
              </w:rPr>
              <w:t>2.</w:t>
            </w:r>
            <w:r>
              <w:rPr>
                <w:rFonts w:ascii="宋体" w:hAnsi="宋体" w:cs="Arial"/>
                <w:szCs w:val="21"/>
              </w:rPr>
              <w:t xml:space="preserve"> </w:t>
            </w:r>
            <w:r>
              <w:rPr>
                <w:rFonts w:hint="eastAsia" w:ascii="宋体" w:hAnsi="宋体" w:cs="Arial"/>
                <w:szCs w:val="21"/>
              </w:rPr>
              <w:t>信息化监管能力：投标人拟使用的农产品质量安全检测采样软件、监管系统、公示系统与溯源等类似软件，有产品证书或软件著作权证书的，每提供一个证书得2分，最多得4分。</w:t>
            </w:r>
            <w:r>
              <w:rPr>
                <w:rFonts w:hint="eastAsia" w:ascii="宋体" w:hAnsi="宋体" w:cs="宋体"/>
                <w:b/>
                <w:bCs/>
                <w:sz w:val="22"/>
                <w:szCs w:val="22"/>
              </w:rPr>
              <w:t>（注：须提供有效的认证证书扫描件，未提供或提供不符合要求的均不得分。）</w:t>
            </w:r>
          </w:p>
          <w:p w14:paraId="149C13D7">
            <w:pPr>
              <w:spacing w:line="360" w:lineRule="exact"/>
              <w:rPr>
                <w:rFonts w:ascii="宋体" w:hAnsi="宋体" w:cs="宋体"/>
                <w:b/>
                <w:bCs/>
                <w:sz w:val="22"/>
                <w:szCs w:val="22"/>
              </w:rPr>
            </w:pPr>
            <w:r>
              <w:rPr>
                <w:rFonts w:hint="eastAsia" w:ascii="宋体" w:hAnsi="宋体" w:cs="Arial"/>
                <w:szCs w:val="21"/>
              </w:rPr>
              <w:t>3.为保障本项目的服务质量。投标人须按照本项目检测服务质量要求严格执行，对照检测服务质量要求提供服务质量承诺函</w:t>
            </w:r>
            <w:r>
              <w:rPr>
                <w:rFonts w:hint="eastAsia" w:ascii="宋体" w:hAnsi="宋体" w:cs="宋体"/>
                <w:b/>
                <w:bCs/>
                <w:sz w:val="22"/>
                <w:szCs w:val="22"/>
              </w:rPr>
              <w:t>（注：承诺函格式自拟，须提供完整承诺函加盖投标人公章的扫描件，本项4分，未提供不得分。）</w:t>
            </w:r>
          </w:p>
          <w:p w14:paraId="42B1CD69">
            <w:pPr>
              <w:spacing w:line="360" w:lineRule="exact"/>
              <w:rPr>
                <w:rFonts w:hint="default" w:ascii="宋体" w:hAnsi="宋体" w:cs="Arial" w:eastAsiaTheme="minorEastAsia"/>
                <w:b/>
                <w:bCs/>
                <w:szCs w:val="21"/>
                <w:lang w:val="en-US" w:eastAsia="zh-CN"/>
              </w:rPr>
            </w:pPr>
            <w:r>
              <w:rPr>
                <w:rFonts w:hint="eastAsia" w:ascii="宋体" w:hAnsi="宋体" w:cs="Arial"/>
                <w:szCs w:val="21"/>
              </w:rPr>
              <w:t>4.投标人</w:t>
            </w:r>
            <w:r>
              <w:rPr>
                <w:rFonts w:hint="eastAsia" w:ascii="宋体" w:hAnsi="宋体" w:cs="宋体"/>
                <w:sz w:val="22"/>
                <w:szCs w:val="20"/>
              </w:rPr>
              <w:t>或</w:t>
            </w:r>
            <w:r>
              <w:rPr>
                <w:rFonts w:hint="eastAsia" w:ascii="宋体" w:hAnsi="宋体" w:cs="Arial"/>
                <w:szCs w:val="21"/>
              </w:rPr>
              <w:t>投标人用于本项目的检测试剂、检测设备生产厂家具有经省级(含副省级)以上检验资质的第三方机构出具的评价报告，评价结果需符合国家市场监管总局(包括原国家食药监总局)快检方法要求(评价内容至少包</w:t>
            </w:r>
            <w:r>
              <w:rPr>
                <w:rFonts w:hint="eastAsia" w:ascii="宋体" w:hAnsi="宋体" w:cs="Arial"/>
                <w:szCs w:val="21"/>
                <w:lang w:val="en-US" w:eastAsia="zh-CN"/>
              </w:rPr>
              <w:t>含</w:t>
            </w:r>
            <w:r>
              <w:rPr>
                <w:rFonts w:hint="eastAsia" w:ascii="宋体" w:hAnsi="宋体" w:cs="Arial"/>
                <w:szCs w:val="21"/>
              </w:rPr>
              <w:t>灵敏度、特异性、假阳性率、假阴性率指标)每提供一个得1分，本项最高得5分。</w:t>
            </w:r>
            <w:r>
              <w:rPr>
                <w:rFonts w:hint="eastAsia" w:ascii="宋体" w:hAnsi="宋体" w:cs="Arial"/>
                <w:b/>
                <w:bCs/>
                <w:szCs w:val="21"/>
              </w:rPr>
              <w:t>须提供有效报告的扫描件，如投标人为所投</w:t>
            </w:r>
            <w:r>
              <w:rPr>
                <w:rFonts w:hint="eastAsia" w:ascii="宋体" w:hAnsi="宋体" w:cs="Arial"/>
                <w:b/>
                <w:bCs/>
                <w:szCs w:val="21"/>
                <w:lang w:val="en-US" w:eastAsia="zh-CN"/>
              </w:rPr>
              <w:t>入</w:t>
            </w:r>
            <w:r>
              <w:rPr>
                <w:rFonts w:hint="eastAsia" w:ascii="宋体" w:hAnsi="宋体" w:cs="Arial"/>
                <w:b/>
                <w:bCs/>
                <w:szCs w:val="21"/>
              </w:rPr>
              <w:t>产品</w:t>
            </w:r>
            <w:r>
              <w:rPr>
                <w:rFonts w:hint="eastAsia" w:ascii="宋体" w:hAnsi="宋体" w:cs="Arial"/>
                <w:b/>
                <w:bCs/>
                <w:szCs w:val="21"/>
                <w:lang w:val="en-US" w:eastAsia="zh-CN"/>
              </w:rPr>
              <w:t>代理</w:t>
            </w:r>
            <w:r>
              <w:rPr>
                <w:rFonts w:hint="eastAsia" w:ascii="宋体" w:hAnsi="宋体" w:cs="Arial"/>
                <w:b/>
                <w:bCs/>
                <w:szCs w:val="21"/>
              </w:rPr>
              <w:t>商，需提供包含上述产品的试剂</w:t>
            </w:r>
            <w:r>
              <w:rPr>
                <w:rFonts w:hint="eastAsia" w:ascii="宋体" w:hAnsi="宋体" w:cs="Arial"/>
                <w:b/>
                <w:bCs/>
                <w:szCs w:val="21"/>
                <w:lang w:val="en-US" w:eastAsia="zh-CN"/>
              </w:rPr>
              <w:t>生产厂家</w:t>
            </w:r>
            <w:r>
              <w:rPr>
                <w:rFonts w:hint="eastAsia" w:ascii="宋体" w:hAnsi="宋体" w:cs="Arial"/>
                <w:b/>
                <w:bCs/>
                <w:szCs w:val="21"/>
              </w:rPr>
              <w:t>授权书</w:t>
            </w:r>
            <w:r>
              <w:rPr>
                <w:rFonts w:hint="eastAsia" w:ascii="宋体" w:hAnsi="宋体" w:cs="Arial"/>
                <w:b/>
                <w:bCs/>
                <w:szCs w:val="21"/>
                <w:lang w:eastAsia="zh-CN"/>
              </w:rPr>
              <w:t>，</w:t>
            </w:r>
            <w:r>
              <w:rPr>
                <w:rFonts w:hint="eastAsia" w:ascii="宋体" w:hAnsi="宋体" w:cs="Arial"/>
                <w:b/>
                <w:bCs/>
                <w:szCs w:val="21"/>
                <w:lang w:val="en-US" w:eastAsia="zh-CN"/>
              </w:rPr>
              <w:t>提供不符合要求的有效报告均不得分。</w:t>
            </w:r>
          </w:p>
          <w:p w14:paraId="3A2218BA">
            <w:pPr>
              <w:spacing w:line="360" w:lineRule="exact"/>
              <w:rPr>
                <w:rFonts w:ascii="宋体" w:hAnsi="宋体" w:cs="Arial"/>
                <w:b/>
                <w:bCs/>
                <w:szCs w:val="21"/>
                <w:u w:val="single"/>
              </w:rPr>
            </w:pPr>
            <w:r>
              <w:rPr>
                <w:rFonts w:hint="eastAsia" w:ascii="宋体" w:hAnsi="宋体" w:cs="Arial"/>
                <w:szCs w:val="21"/>
              </w:rPr>
              <w:t>5.</w:t>
            </w:r>
            <w:r>
              <w:rPr>
                <w:rFonts w:hint="eastAsia"/>
              </w:rPr>
              <w:t xml:space="preserve"> </w:t>
            </w:r>
            <w:r>
              <w:rPr>
                <w:rFonts w:hint="eastAsia" w:ascii="宋体" w:hAnsi="宋体" w:cs="Arial"/>
                <w:szCs w:val="21"/>
              </w:rPr>
              <w:t>投标人拟投入本项目水产品中的孔雀石绿、氯霉素、硝基呋喃类代谢物、氧氟沙星等通过农业部门水产科学研究院评价通过的，每通过一项得2分，本项最高得8分。</w:t>
            </w:r>
            <w:r>
              <w:rPr>
                <w:rFonts w:hint="eastAsia" w:ascii="宋体" w:hAnsi="宋体" w:cs="Arial"/>
                <w:b/>
                <w:bCs/>
                <w:szCs w:val="21"/>
              </w:rPr>
              <w:t>须提供水产科学研究院评价的结果证明材料扫描件，不清晰或未提供均不得分。</w:t>
            </w:r>
          </w:p>
          <w:p w14:paraId="491B5A68">
            <w:pPr>
              <w:spacing w:line="360" w:lineRule="exact"/>
              <w:rPr>
                <w:rFonts w:ascii="宋体" w:hAnsi="宋体" w:cs="Arial"/>
                <w:szCs w:val="21"/>
              </w:rPr>
            </w:pPr>
            <w:r>
              <w:rPr>
                <w:rFonts w:hint="eastAsia" w:ascii="宋体" w:hAnsi="宋体" w:cs="Arial"/>
                <w:szCs w:val="21"/>
              </w:rPr>
              <w:t>6、投标人或投标人用于本项目的检测试剂、检测设备生产厂家每参与过一项食品安全快检技术相关国家标准或技术规范(该标准或技术规范已通过备案并公布)的得2分，本项最多得4分。</w:t>
            </w:r>
            <w:r>
              <w:rPr>
                <w:rFonts w:hint="eastAsia" w:ascii="宋体" w:hAnsi="宋体" w:cs="Arial"/>
                <w:b/>
                <w:bCs/>
                <w:szCs w:val="21"/>
              </w:rPr>
              <w:t>注:须提供相关标准或技术规范文本扫描件，标准中起草单位名称与投标人或投标人用于本项目的检测试剂、检测设备生产厂家一致，否则不得分。</w:t>
            </w:r>
          </w:p>
        </w:tc>
      </w:tr>
      <w:tr w14:paraId="07976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6B0120E1">
            <w:pPr>
              <w:spacing w:line="360" w:lineRule="exact"/>
              <w:jc w:val="center"/>
              <w:rPr>
                <w:rFonts w:ascii="宋体" w:hAnsi="宋体"/>
                <w:szCs w:val="21"/>
              </w:rPr>
            </w:pPr>
            <w:r>
              <w:rPr>
                <w:rFonts w:hint="eastAsia" w:ascii="宋体" w:hAnsi="宋体"/>
                <w:szCs w:val="21"/>
              </w:rPr>
              <w:t>3</w:t>
            </w:r>
          </w:p>
        </w:tc>
        <w:tc>
          <w:tcPr>
            <w:tcW w:w="561" w:type="pct"/>
            <w:vMerge w:val="continue"/>
            <w:vAlign w:val="center"/>
          </w:tcPr>
          <w:p w14:paraId="25574C67">
            <w:pPr>
              <w:spacing w:line="360" w:lineRule="exact"/>
              <w:jc w:val="center"/>
              <w:rPr>
                <w:rFonts w:ascii="宋体" w:hAnsi="宋体"/>
                <w:szCs w:val="21"/>
              </w:rPr>
            </w:pPr>
          </w:p>
        </w:tc>
        <w:tc>
          <w:tcPr>
            <w:tcW w:w="501" w:type="pct"/>
            <w:vAlign w:val="center"/>
          </w:tcPr>
          <w:p w14:paraId="211ADE37">
            <w:pPr>
              <w:spacing w:line="360" w:lineRule="exact"/>
              <w:jc w:val="center"/>
              <w:rPr>
                <w:rFonts w:ascii="宋体" w:hAnsi="宋体"/>
                <w:szCs w:val="21"/>
              </w:rPr>
            </w:pPr>
            <w:r>
              <w:rPr>
                <w:rFonts w:hint="eastAsia" w:ascii="宋体" w:hAnsi="宋体"/>
                <w:szCs w:val="21"/>
              </w:rPr>
              <w:t>投标人业绩(4分)</w:t>
            </w:r>
          </w:p>
        </w:tc>
        <w:tc>
          <w:tcPr>
            <w:tcW w:w="3558" w:type="pct"/>
            <w:vAlign w:val="center"/>
          </w:tcPr>
          <w:p w14:paraId="1ECBB2CF">
            <w:pPr>
              <w:spacing w:line="360" w:lineRule="exact"/>
              <w:rPr>
                <w:rFonts w:ascii="宋体" w:hAnsi="宋体" w:cs="Arial"/>
                <w:szCs w:val="21"/>
              </w:rPr>
            </w:pPr>
            <w:r>
              <w:rPr>
                <w:rFonts w:hint="eastAsia" w:ascii="宋体" w:hAnsi="宋体" w:cs="Arial"/>
                <w:szCs w:val="21"/>
              </w:rPr>
              <w:t>投标人自2022年1月1日(以合同签订时间为准)以来，承担类似食品安全快检服务项目，每提供一份合同得2分，本项最高得4分。(须提供合同或中标通知书扫描件，否则不得分)</w:t>
            </w:r>
          </w:p>
        </w:tc>
      </w:tr>
      <w:tr w14:paraId="2300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562FD2D4">
            <w:pPr>
              <w:spacing w:line="360" w:lineRule="exact"/>
              <w:jc w:val="center"/>
              <w:rPr>
                <w:rFonts w:ascii="宋体" w:hAnsi="宋体"/>
                <w:szCs w:val="21"/>
              </w:rPr>
            </w:pPr>
            <w:r>
              <w:rPr>
                <w:rFonts w:hint="eastAsia" w:ascii="宋体" w:hAnsi="宋体"/>
                <w:szCs w:val="21"/>
              </w:rPr>
              <w:t>4</w:t>
            </w:r>
          </w:p>
        </w:tc>
        <w:tc>
          <w:tcPr>
            <w:tcW w:w="561" w:type="pct"/>
            <w:vMerge w:val="continue"/>
            <w:vAlign w:val="center"/>
          </w:tcPr>
          <w:p w14:paraId="03B7F2E6">
            <w:pPr>
              <w:spacing w:line="360" w:lineRule="exact"/>
              <w:jc w:val="center"/>
              <w:rPr>
                <w:rFonts w:ascii="宋体" w:hAnsi="宋体"/>
                <w:szCs w:val="21"/>
              </w:rPr>
            </w:pPr>
          </w:p>
        </w:tc>
        <w:tc>
          <w:tcPr>
            <w:tcW w:w="501" w:type="pct"/>
            <w:vAlign w:val="center"/>
          </w:tcPr>
          <w:p w14:paraId="42EE19E7">
            <w:pPr>
              <w:spacing w:line="360" w:lineRule="exact"/>
              <w:jc w:val="center"/>
              <w:rPr>
                <w:rFonts w:ascii="宋体" w:hAnsi="宋体"/>
                <w:szCs w:val="21"/>
              </w:rPr>
            </w:pPr>
            <w:r>
              <w:rPr>
                <w:rFonts w:hint="eastAsia" w:ascii="宋体" w:hAnsi="宋体"/>
                <w:szCs w:val="21"/>
              </w:rPr>
              <w:t>项目负责人(4分)</w:t>
            </w:r>
          </w:p>
        </w:tc>
        <w:tc>
          <w:tcPr>
            <w:tcW w:w="3558" w:type="pct"/>
            <w:vAlign w:val="center"/>
          </w:tcPr>
          <w:p w14:paraId="43647D2C">
            <w:pPr>
              <w:spacing w:line="360" w:lineRule="exact"/>
              <w:rPr>
                <w:rFonts w:ascii="宋体" w:hAnsi="宋体" w:cs="Arial"/>
                <w:szCs w:val="21"/>
              </w:rPr>
            </w:pPr>
            <w:r>
              <w:rPr>
                <w:rFonts w:hint="eastAsia" w:ascii="宋体" w:hAnsi="宋体" w:cs="Arial"/>
                <w:szCs w:val="21"/>
              </w:rPr>
              <w:t>1、拟派项目负责人具有食品检测、食品质量与安全、化工等相关专业，本科学历得1分，硕士及以上学历得2分；</w:t>
            </w:r>
          </w:p>
          <w:p w14:paraId="0122DB0D">
            <w:pPr>
              <w:spacing w:line="360" w:lineRule="exact"/>
              <w:rPr>
                <w:rFonts w:ascii="宋体" w:hAnsi="宋体" w:cs="Arial"/>
                <w:szCs w:val="21"/>
              </w:rPr>
            </w:pPr>
            <w:r>
              <w:rPr>
                <w:rFonts w:hint="eastAsia" w:ascii="宋体" w:hAnsi="宋体" w:cs="Arial"/>
                <w:szCs w:val="21"/>
              </w:rPr>
              <w:t>2、具有食品相关专业中级职称或以上的，得2分。</w:t>
            </w:r>
          </w:p>
          <w:p w14:paraId="313A41F0">
            <w:pPr>
              <w:spacing w:line="360" w:lineRule="exact"/>
              <w:rPr>
                <w:rFonts w:ascii="宋体" w:hAnsi="宋体" w:cs="Arial"/>
                <w:szCs w:val="21"/>
              </w:rPr>
            </w:pPr>
            <w:r>
              <w:rPr>
                <w:rFonts w:hint="eastAsia" w:ascii="宋体" w:hAnsi="宋体" w:cs="Arial"/>
                <w:szCs w:val="21"/>
              </w:rPr>
              <w:t>注：须提供毕业证书、职称证书扫描件及投标人为其缴纳的近三个月任意一个月社保证明，如为劳务派遣人员需提供用工合同，如为依法免缴社保的人员须提供相关证明材料。</w:t>
            </w:r>
          </w:p>
        </w:tc>
      </w:tr>
      <w:tr w14:paraId="1EB5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609E55D4">
            <w:pPr>
              <w:spacing w:line="360" w:lineRule="exact"/>
              <w:jc w:val="center"/>
              <w:rPr>
                <w:rFonts w:ascii="宋体" w:hAnsi="宋体"/>
                <w:szCs w:val="21"/>
              </w:rPr>
            </w:pPr>
            <w:r>
              <w:rPr>
                <w:rFonts w:hint="eastAsia" w:ascii="宋体" w:hAnsi="宋体"/>
                <w:szCs w:val="21"/>
              </w:rPr>
              <w:t>5</w:t>
            </w:r>
          </w:p>
        </w:tc>
        <w:tc>
          <w:tcPr>
            <w:tcW w:w="561" w:type="pct"/>
            <w:vMerge w:val="continue"/>
            <w:vAlign w:val="center"/>
          </w:tcPr>
          <w:p w14:paraId="354F9C37">
            <w:pPr>
              <w:spacing w:line="360" w:lineRule="exact"/>
              <w:jc w:val="center"/>
              <w:rPr>
                <w:rFonts w:ascii="宋体" w:hAnsi="宋体"/>
                <w:szCs w:val="21"/>
              </w:rPr>
            </w:pPr>
          </w:p>
        </w:tc>
        <w:tc>
          <w:tcPr>
            <w:tcW w:w="501" w:type="pct"/>
            <w:vAlign w:val="center"/>
          </w:tcPr>
          <w:p w14:paraId="4A28C53E">
            <w:pPr>
              <w:spacing w:line="360" w:lineRule="exact"/>
              <w:jc w:val="center"/>
              <w:rPr>
                <w:rFonts w:ascii="宋体" w:hAnsi="宋体"/>
                <w:szCs w:val="21"/>
              </w:rPr>
            </w:pPr>
            <w:r>
              <w:rPr>
                <w:rFonts w:hint="eastAsia" w:ascii="宋体" w:hAnsi="宋体"/>
                <w:szCs w:val="21"/>
              </w:rPr>
              <w:t>技术人员（4分）</w:t>
            </w:r>
          </w:p>
        </w:tc>
        <w:tc>
          <w:tcPr>
            <w:tcW w:w="3558" w:type="pct"/>
            <w:vAlign w:val="center"/>
          </w:tcPr>
          <w:p w14:paraId="1923BE82">
            <w:pPr>
              <w:spacing w:line="360" w:lineRule="exact"/>
              <w:rPr>
                <w:rFonts w:ascii="宋体" w:hAnsi="宋体" w:cs="Arial"/>
                <w:szCs w:val="21"/>
              </w:rPr>
            </w:pPr>
            <w:r>
              <w:rPr>
                <w:rFonts w:hint="eastAsia" w:ascii="宋体" w:hAnsi="宋体" w:cs="Arial"/>
                <w:szCs w:val="21"/>
              </w:rPr>
              <w:t>投标人为本项目提供专业技术培训人员，技术培训人员具有本科及以上学历(生物类、食品类、材料类、化学类、检测化验类等相关专业)，每提供一名符合要求的人员得2分，本项最高得4分。</w:t>
            </w:r>
          </w:p>
          <w:p w14:paraId="0B5032AF">
            <w:pPr>
              <w:spacing w:line="360" w:lineRule="exact"/>
              <w:rPr>
                <w:rFonts w:ascii="宋体" w:hAnsi="宋体" w:cs="Arial"/>
                <w:szCs w:val="21"/>
              </w:rPr>
            </w:pPr>
            <w:r>
              <w:rPr>
                <w:rFonts w:hint="eastAsia" w:ascii="宋体" w:hAnsi="宋体" w:cs="Arial"/>
                <w:szCs w:val="21"/>
              </w:rPr>
              <w:t>注：须提供技术培训人员毕业证书扫描件及投标人为其缴纳的近三个月任意一个月社保证明，如为劳务派遣人员需提供用工合同，如为依法免缴社保的人员须提供相关证明材料。</w:t>
            </w:r>
          </w:p>
        </w:tc>
      </w:tr>
      <w:tr w14:paraId="4B20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2395A728">
            <w:pPr>
              <w:spacing w:line="360" w:lineRule="exact"/>
              <w:jc w:val="center"/>
              <w:rPr>
                <w:rFonts w:ascii="宋体" w:hAnsi="宋体"/>
                <w:szCs w:val="21"/>
              </w:rPr>
            </w:pPr>
            <w:r>
              <w:rPr>
                <w:rFonts w:hint="eastAsia" w:ascii="宋体" w:hAnsi="宋体"/>
                <w:szCs w:val="21"/>
              </w:rPr>
              <w:t>6</w:t>
            </w:r>
          </w:p>
        </w:tc>
        <w:tc>
          <w:tcPr>
            <w:tcW w:w="561" w:type="pct"/>
            <w:vMerge w:val="continue"/>
            <w:vAlign w:val="center"/>
          </w:tcPr>
          <w:p w14:paraId="3F3A6DA4">
            <w:pPr>
              <w:spacing w:line="360" w:lineRule="exact"/>
              <w:jc w:val="center"/>
              <w:rPr>
                <w:rFonts w:ascii="宋体" w:hAnsi="宋体"/>
                <w:szCs w:val="21"/>
              </w:rPr>
            </w:pPr>
          </w:p>
        </w:tc>
        <w:tc>
          <w:tcPr>
            <w:tcW w:w="501" w:type="pct"/>
            <w:vAlign w:val="center"/>
          </w:tcPr>
          <w:p w14:paraId="3F8D0AB0">
            <w:pPr>
              <w:spacing w:line="360" w:lineRule="exact"/>
              <w:jc w:val="center"/>
              <w:rPr>
                <w:rFonts w:ascii="宋体" w:hAnsi="宋体"/>
                <w:szCs w:val="21"/>
              </w:rPr>
            </w:pPr>
            <w:r>
              <w:rPr>
                <w:rFonts w:hint="eastAsia" w:ascii="宋体" w:hAnsi="宋体"/>
                <w:szCs w:val="21"/>
              </w:rPr>
              <w:t>快检车运输实力(</w:t>
            </w:r>
            <w:r>
              <w:rPr>
                <w:rFonts w:hint="eastAsia" w:ascii="宋体" w:hAnsi="宋体"/>
                <w:szCs w:val="21"/>
                <w:lang w:val="en-US" w:eastAsia="zh-CN"/>
              </w:rPr>
              <w:t>3</w:t>
            </w:r>
            <w:r>
              <w:rPr>
                <w:rFonts w:hint="eastAsia" w:ascii="宋体" w:hAnsi="宋体"/>
                <w:szCs w:val="21"/>
              </w:rPr>
              <w:t>分）</w:t>
            </w:r>
          </w:p>
        </w:tc>
        <w:tc>
          <w:tcPr>
            <w:tcW w:w="3558" w:type="pct"/>
            <w:vAlign w:val="center"/>
          </w:tcPr>
          <w:p w14:paraId="20DFE12C">
            <w:pPr>
              <w:spacing w:line="360" w:lineRule="exact"/>
              <w:rPr>
                <w:rFonts w:ascii="宋体" w:hAnsi="宋体" w:cs="Arial"/>
                <w:szCs w:val="21"/>
              </w:rPr>
            </w:pPr>
            <w:r>
              <w:rPr>
                <w:rFonts w:hint="eastAsia" w:ascii="宋体" w:hAnsi="宋体" w:cs="Arial"/>
                <w:szCs w:val="21"/>
              </w:rPr>
              <w:t>投标人具有专用食品安全快速检测车(专用改装车)，可用于重大活动保障的得</w:t>
            </w:r>
            <w:r>
              <w:rPr>
                <w:rFonts w:hint="eastAsia" w:ascii="宋体" w:hAnsi="宋体" w:cs="Arial"/>
                <w:szCs w:val="21"/>
                <w:lang w:val="en-US" w:eastAsia="zh-CN"/>
              </w:rPr>
              <w:t>3</w:t>
            </w:r>
            <w:r>
              <w:rPr>
                <w:rFonts w:hint="eastAsia" w:ascii="宋体" w:hAnsi="宋体" w:cs="Arial"/>
                <w:szCs w:val="21"/>
              </w:rPr>
              <w:t>分。</w:t>
            </w:r>
          </w:p>
          <w:p w14:paraId="47CE29A7">
            <w:pPr>
              <w:spacing w:line="360" w:lineRule="exact"/>
              <w:rPr>
                <w:rFonts w:hint="default" w:ascii="宋体" w:hAnsi="宋体" w:cs="Arial" w:eastAsiaTheme="minorEastAsia"/>
                <w:szCs w:val="21"/>
                <w:lang w:val="en-US" w:eastAsia="zh-CN"/>
              </w:rPr>
            </w:pPr>
            <w:r>
              <w:rPr>
                <w:rFonts w:hint="eastAsia" w:ascii="宋体" w:hAnsi="宋体" w:cs="Arial"/>
                <w:szCs w:val="21"/>
              </w:rPr>
              <w:t>注：须提供车辆行驶证、车辆登记证、整车实物照片(含车载快检设备)，其中行驶证中车辆类型须为轻型或中型非载货专项作业，如提供普通客车或货车行驶证则不得分，如符合要求的车辆为租赁车辆，须提供租赁合同扫描件。</w:t>
            </w:r>
            <w:r>
              <w:rPr>
                <w:rFonts w:hint="eastAsia" w:ascii="宋体" w:hAnsi="宋体" w:cs="Arial"/>
                <w:szCs w:val="21"/>
                <w:lang w:val="en-US" w:eastAsia="zh-CN"/>
              </w:rPr>
              <w:t>未提供不得分。</w:t>
            </w:r>
            <w:bookmarkStart w:id="193" w:name="_GoBack"/>
            <w:bookmarkEnd w:id="193"/>
          </w:p>
        </w:tc>
      </w:tr>
      <w:tr w14:paraId="4EFC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77" w:type="pct"/>
            <w:vAlign w:val="center"/>
          </w:tcPr>
          <w:p w14:paraId="44BB8D16">
            <w:pPr>
              <w:spacing w:line="360" w:lineRule="exact"/>
              <w:jc w:val="center"/>
              <w:rPr>
                <w:rFonts w:ascii="宋体" w:hAnsi="宋体"/>
                <w:szCs w:val="21"/>
              </w:rPr>
            </w:pPr>
            <w:r>
              <w:rPr>
                <w:rFonts w:hint="eastAsia" w:ascii="宋体" w:hAnsi="宋体"/>
                <w:szCs w:val="21"/>
              </w:rPr>
              <w:t>7</w:t>
            </w:r>
          </w:p>
        </w:tc>
        <w:tc>
          <w:tcPr>
            <w:tcW w:w="561" w:type="pct"/>
            <w:vMerge w:val="restart"/>
            <w:vAlign w:val="center"/>
          </w:tcPr>
          <w:p w14:paraId="6A205FBA">
            <w:pPr>
              <w:spacing w:line="360" w:lineRule="exact"/>
              <w:jc w:val="center"/>
              <w:rPr>
                <w:rFonts w:ascii="宋体" w:hAnsi="宋体"/>
                <w:szCs w:val="21"/>
              </w:rPr>
            </w:pPr>
          </w:p>
          <w:p w14:paraId="7705617F">
            <w:pPr>
              <w:spacing w:line="360" w:lineRule="exact"/>
              <w:jc w:val="center"/>
              <w:rPr>
                <w:rFonts w:ascii="宋体" w:hAnsi="宋体"/>
                <w:szCs w:val="21"/>
              </w:rPr>
            </w:pPr>
          </w:p>
          <w:p w14:paraId="247A39CD">
            <w:pPr>
              <w:spacing w:line="360" w:lineRule="exact"/>
              <w:jc w:val="center"/>
              <w:rPr>
                <w:rFonts w:ascii="宋体" w:hAnsi="宋体"/>
                <w:szCs w:val="21"/>
              </w:rPr>
            </w:pPr>
          </w:p>
          <w:p w14:paraId="00084046">
            <w:pPr>
              <w:spacing w:line="360" w:lineRule="exact"/>
              <w:jc w:val="center"/>
              <w:rPr>
                <w:rFonts w:ascii="宋体" w:hAnsi="宋体"/>
                <w:szCs w:val="21"/>
              </w:rPr>
            </w:pPr>
          </w:p>
          <w:p w14:paraId="579665E4">
            <w:pPr>
              <w:spacing w:line="360" w:lineRule="exact"/>
              <w:jc w:val="center"/>
              <w:rPr>
                <w:rFonts w:ascii="宋体" w:hAnsi="宋体"/>
                <w:szCs w:val="21"/>
              </w:rPr>
            </w:pPr>
          </w:p>
          <w:p w14:paraId="3FCFB8F7">
            <w:pPr>
              <w:spacing w:line="360" w:lineRule="exact"/>
              <w:jc w:val="center"/>
              <w:rPr>
                <w:rFonts w:ascii="宋体" w:hAnsi="宋体"/>
                <w:szCs w:val="21"/>
              </w:rPr>
            </w:pPr>
          </w:p>
          <w:p w14:paraId="1EF7BABE">
            <w:pPr>
              <w:spacing w:line="360" w:lineRule="exact"/>
              <w:jc w:val="center"/>
              <w:rPr>
                <w:rFonts w:ascii="宋体" w:hAnsi="宋体"/>
                <w:szCs w:val="21"/>
              </w:rPr>
            </w:pPr>
          </w:p>
          <w:p w14:paraId="20C3CACA">
            <w:pPr>
              <w:spacing w:line="360" w:lineRule="exact"/>
              <w:jc w:val="center"/>
              <w:rPr>
                <w:rFonts w:ascii="宋体" w:hAnsi="宋体"/>
                <w:szCs w:val="21"/>
              </w:rPr>
            </w:pPr>
          </w:p>
          <w:p w14:paraId="124770F7">
            <w:pPr>
              <w:spacing w:line="360" w:lineRule="exact"/>
              <w:jc w:val="center"/>
              <w:rPr>
                <w:rFonts w:ascii="宋体" w:hAnsi="宋体"/>
                <w:szCs w:val="21"/>
              </w:rPr>
            </w:pPr>
            <w:r>
              <w:rPr>
                <w:rFonts w:hint="eastAsia" w:ascii="宋体" w:hAnsi="宋体"/>
                <w:szCs w:val="21"/>
              </w:rPr>
              <w:t>实施方案（40分）</w:t>
            </w:r>
          </w:p>
        </w:tc>
        <w:tc>
          <w:tcPr>
            <w:tcW w:w="501" w:type="pct"/>
            <w:vAlign w:val="center"/>
          </w:tcPr>
          <w:p w14:paraId="59C57571">
            <w:pPr>
              <w:spacing w:line="360" w:lineRule="exact"/>
              <w:jc w:val="center"/>
              <w:rPr>
                <w:rFonts w:ascii="宋体" w:hAnsi="宋体"/>
                <w:szCs w:val="21"/>
              </w:rPr>
            </w:pPr>
            <w:r>
              <w:rPr>
                <w:rFonts w:hint="eastAsia" w:ascii="宋体" w:hAnsi="宋体"/>
                <w:szCs w:val="21"/>
              </w:rPr>
              <w:t>检测成效保障方案(10分)</w:t>
            </w:r>
          </w:p>
        </w:tc>
        <w:tc>
          <w:tcPr>
            <w:tcW w:w="3558" w:type="pct"/>
            <w:vAlign w:val="center"/>
          </w:tcPr>
          <w:p w14:paraId="0737555C">
            <w:pPr>
              <w:spacing w:line="360" w:lineRule="exact"/>
              <w:rPr>
                <w:rFonts w:ascii="宋体" w:hAnsi="宋体" w:cs="Arial"/>
                <w:szCs w:val="21"/>
              </w:rPr>
            </w:pPr>
            <w:r>
              <w:rPr>
                <w:rFonts w:hint="eastAsia" w:ascii="宋体" w:hAnsi="宋体" w:cs="Arial"/>
                <w:szCs w:val="21"/>
              </w:rPr>
              <w:t>磋商小组针对投标人对本项目提供的检测成效保障方案进行综合评分：</w:t>
            </w:r>
          </w:p>
          <w:p w14:paraId="70D24DB6">
            <w:pPr>
              <w:spacing w:line="360" w:lineRule="exact"/>
              <w:rPr>
                <w:rFonts w:ascii="宋体" w:hAnsi="宋体" w:cs="Arial"/>
                <w:szCs w:val="21"/>
              </w:rPr>
            </w:pPr>
            <w:r>
              <w:rPr>
                <w:rFonts w:hint="eastAsia" w:ascii="宋体" w:hAnsi="宋体" w:cs="Arial"/>
                <w:szCs w:val="21"/>
              </w:rPr>
              <w:t>方案中涵盖</w:t>
            </w:r>
            <w:r>
              <w:rPr>
                <w:rFonts w:hint="eastAsia" w:ascii="宋体" w:hAnsi="宋体" w:cs="Arial"/>
                <w:b/>
                <w:bCs/>
                <w:szCs w:val="21"/>
              </w:rPr>
              <w:t>快检体系提升指导、农贸市场“你点我检”服务、项目总结、检测成效展示等内容</w:t>
            </w:r>
            <w:r>
              <w:rPr>
                <w:rFonts w:hint="eastAsia" w:ascii="宋体" w:hAnsi="宋体" w:cs="Arial"/>
                <w:szCs w:val="21"/>
              </w:rPr>
              <w:t>，方案优于采购需求的得 10分；方案满足采购需求的得8分；</w:t>
            </w:r>
            <w:r>
              <w:rPr>
                <w:rFonts w:hint="eastAsia" w:ascii="宋体" w:hAnsi="宋体"/>
                <w:szCs w:val="21"/>
              </w:rPr>
              <w:t>方案不满足采购需求或者未提供方案的不得分。</w:t>
            </w:r>
          </w:p>
        </w:tc>
      </w:tr>
      <w:tr w14:paraId="164BE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3B83BC3A">
            <w:pPr>
              <w:spacing w:line="360" w:lineRule="exact"/>
              <w:jc w:val="center"/>
              <w:rPr>
                <w:rFonts w:ascii="宋体" w:hAnsi="宋体"/>
                <w:szCs w:val="21"/>
              </w:rPr>
            </w:pPr>
          </w:p>
        </w:tc>
        <w:tc>
          <w:tcPr>
            <w:tcW w:w="561" w:type="pct"/>
            <w:vMerge w:val="continue"/>
            <w:vAlign w:val="center"/>
          </w:tcPr>
          <w:p w14:paraId="47D8D509">
            <w:pPr>
              <w:spacing w:line="360" w:lineRule="exact"/>
              <w:jc w:val="center"/>
              <w:rPr>
                <w:rFonts w:ascii="宋体" w:hAnsi="宋体"/>
                <w:szCs w:val="21"/>
              </w:rPr>
            </w:pPr>
          </w:p>
        </w:tc>
        <w:tc>
          <w:tcPr>
            <w:tcW w:w="501" w:type="pct"/>
            <w:vAlign w:val="center"/>
          </w:tcPr>
          <w:p w14:paraId="64719D8C">
            <w:pPr>
              <w:spacing w:line="360" w:lineRule="exact"/>
              <w:jc w:val="center"/>
              <w:rPr>
                <w:rFonts w:ascii="宋体" w:hAnsi="宋体"/>
                <w:szCs w:val="21"/>
              </w:rPr>
            </w:pPr>
            <w:r>
              <w:rPr>
                <w:rFonts w:hint="eastAsia" w:ascii="宋体" w:hAnsi="宋体"/>
                <w:szCs w:val="21"/>
              </w:rPr>
              <w:t>检测服务质量保障方案（10分）</w:t>
            </w:r>
          </w:p>
        </w:tc>
        <w:tc>
          <w:tcPr>
            <w:tcW w:w="3558" w:type="pct"/>
            <w:vAlign w:val="center"/>
          </w:tcPr>
          <w:p w14:paraId="75B5F78C">
            <w:pPr>
              <w:spacing w:line="360" w:lineRule="exact"/>
              <w:rPr>
                <w:rFonts w:ascii="宋体" w:hAnsi="宋体" w:cs="Arial"/>
                <w:szCs w:val="21"/>
              </w:rPr>
            </w:pPr>
            <w:r>
              <w:rPr>
                <w:rFonts w:hint="eastAsia" w:ascii="宋体" w:hAnsi="宋体" w:cs="Arial"/>
                <w:szCs w:val="21"/>
              </w:rPr>
              <w:t>磋商小组针对投标人对本项目提供的检测服务质量保障方案进行综合评分方案需涵盖以下内容:</w:t>
            </w:r>
          </w:p>
          <w:p w14:paraId="60E6A115">
            <w:pPr>
              <w:spacing w:line="360" w:lineRule="exact"/>
              <w:rPr>
                <w:rFonts w:ascii="宋体" w:hAnsi="宋体" w:cs="Arial"/>
                <w:szCs w:val="21"/>
              </w:rPr>
            </w:pPr>
            <w:r>
              <w:rPr>
                <w:rFonts w:hint="eastAsia" w:ascii="宋体" w:hAnsi="宋体" w:cs="Arial"/>
                <w:szCs w:val="21"/>
              </w:rPr>
              <w:t>(1)快检服务工作流程</w:t>
            </w:r>
          </w:p>
          <w:p w14:paraId="0ABE79C6">
            <w:pPr>
              <w:spacing w:line="360" w:lineRule="exact"/>
              <w:rPr>
                <w:rFonts w:ascii="宋体" w:hAnsi="宋体" w:cs="Arial"/>
                <w:szCs w:val="21"/>
              </w:rPr>
            </w:pPr>
            <w:r>
              <w:rPr>
                <w:rFonts w:hint="eastAsia" w:ascii="宋体" w:hAnsi="宋体" w:cs="Arial"/>
                <w:szCs w:val="21"/>
              </w:rPr>
              <w:t>(2)检测结果准确性</w:t>
            </w:r>
          </w:p>
          <w:p w14:paraId="48525DEC">
            <w:pPr>
              <w:spacing w:line="360" w:lineRule="exact"/>
              <w:rPr>
                <w:rFonts w:ascii="宋体" w:hAnsi="宋体" w:cs="Arial"/>
                <w:szCs w:val="21"/>
              </w:rPr>
            </w:pPr>
            <w:r>
              <w:rPr>
                <w:rFonts w:hint="eastAsia" w:ascii="宋体" w:hAnsi="宋体" w:cs="Arial"/>
                <w:szCs w:val="21"/>
              </w:rPr>
              <w:t>(3)实施过程管控</w:t>
            </w:r>
          </w:p>
          <w:p w14:paraId="1AE9FB08">
            <w:pPr>
              <w:spacing w:line="360" w:lineRule="exact"/>
              <w:rPr>
                <w:rFonts w:ascii="宋体" w:hAnsi="宋体" w:cs="Arial"/>
                <w:szCs w:val="21"/>
              </w:rPr>
            </w:pPr>
            <w:r>
              <w:rPr>
                <w:rFonts w:hint="eastAsia" w:ascii="宋体" w:hAnsi="宋体" w:cs="Arial"/>
                <w:szCs w:val="21"/>
              </w:rPr>
              <w:t>(4)应急保障</w:t>
            </w:r>
          </w:p>
          <w:p w14:paraId="1D5022A6">
            <w:pPr>
              <w:spacing w:line="360" w:lineRule="exact"/>
              <w:rPr>
                <w:rFonts w:ascii="宋体" w:hAnsi="宋体" w:cs="Arial"/>
                <w:szCs w:val="21"/>
              </w:rPr>
            </w:pPr>
            <w:r>
              <w:rPr>
                <w:rFonts w:hint="eastAsia" w:ascii="宋体" w:hAnsi="宋体" w:cs="Arial"/>
                <w:szCs w:val="21"/>
              </w:rPr>
              <w:t>(5)不合格产品后处置</w:t>
            </w:r>
          </w:p>
          <w:p w14:paraId="264DEB62">
            <w:pPr>
              <w:spacing w:line="360" w:lineRule="exact"/>
              <w:rPr>
                <w:rFonts w:ascii="宋体" w:hAnsi="宋体" w:cs="Arial"/>
                <w:szCs w:val="21"/>
              </w:rPr>
            </w:pPr>
            <w:r>
              <w:rPr>
                <w:rFonts w:hint="eastAsia" w:ascii="宋体" w:hAnsi="宋体" w:cs="Arial"/>
                <w:szCs w:val="21"/>
              </w:rPr>
              <w:t>方案优于采购需求的得 10分；方案满足采购需求的得8分；</w:t>
            </w:r>
            <w:r>
              <w:rPr>
                <w:rFonts w:hint="eastAsia" w:ascii="宋体" w:hAnsi="宋体"/>
                <w:szCs w:val="21"/>
              </w:rPr>
              <w:t>方案不满足采购需求或者未提供方案的得0分。</w:t>
            </w:r>
          </w:p>
        </w:tc>
      </w:tr>
      <w:tr w14:paraId="14BF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78FBAA67">
            <w:pPr>
              <w:spacing w:line="360" w:lineRule="exact"/>
              <w:jc w:val="center"/>
              <w:rPr>
                <w:rFonts w:ascii="宋体" w:hAnsi="宋体"/>
                <w:szCs w:val="21"/>
              </w:rPr>
            </w:pPr>
          </w:p>
        </w:tc>
        <w:tc>
          <w:tcPr>
            <w:tcW w:w="561" w:type="pct"/>
            <w:vMerge w:val="continue"/>
            <w:vAlign w:val="center"/>
          </w:tcPr>
          <w:p w14:paraId="69C51A04">
            <w:pPr>
              <w:spacing w:line="360" w:lineRule="exact"/>
              <w:jc w:val="center"/>
              <w:rPr>
                <w:rFonts w:ascii="宋体" w:hAnsi="宋体"/>
                <w:szCs w:val="21"/>
              </w:rPr>
            </w:pPr>
          </w:p>
        </w:tc>
        <w:tc>
          <w:tcPr>
            <w:tcW w:w="501" w:type="pct"/>
            <w:shd w:val="clear" w:color="auto" w:fill="auto"/>
            <w:vAlign w:val="center"/>
          </w:tcPr>
          <w:p w14:paraId="4983FB2C">
            <w:pPr>
              <w:spacing w:line="360" w:lineRule="exact"/>
              <w:jc w:val="center"/>
              <w:rPr>
                <w:rFonts w:ascii="宋体" w:hAnsi="宋体"/>
                <w:szCs w:val="21"/>
              </w:rPr>
            </w:pPr>
            <w:r>
              <w:rPr>
                <w:rFonts w:hint="eastAsia" w:ascii="宋体" w:hAnsi="宋体"/>
                <w:szCs w:val="21"/>
              </w:rPr>
              <w:t>快速检测阳性处置方案(5分)</w:t>
            </w:r>
          </w:p>
        </w:tc>
        <w:tc>
          <w:tcPr>
            <w:tcW w:w="3558" w:type="pct"/>
            <w:shd w:val="clear" w:color="auto" w:fill="auto"/>
            <w:vAlign w:val="center"/>
          </w:tcPr>
          <w:p w14:paraId="67479A27">
            <w:pPr>
              <w:spacing w:line="360" w:lineRule="exact"/>
              <w:rPr>
                <w:rFonts w:ascii="宋体" w:hAnsi="宋体" w:cs="Arial"/>
                <w:szCs w:val="21"/>
              </w:rPr>
            </w:pPr>
            <w:r>
              <w:rPr>
                <w:rFonts w:hint="eastAsia" w:ascii="宋体" w:hAnsi="宋体" w:cs="Arial"/>
                <w:szCs w:val="21"/>
              </w:rPr>
              <w:t>磋商小组针对投标人对</w:t>
            </w:r>
            <w:r>
              <w:rPr>
                <w:rFonts w:hint="eastAsia" w:ascii="宋体" w:hAnsi="宋体" w:cs="Arial"/>
                <w:b/>
                <w:bCs/>
                <w:szCs w:val="21"/>
              </w:rPr>
              <w:t>快速检测检出阳性结果进行后处置</w:t>
            </w:r>
            <w:r>
              <w:rPr>
                <w:rFonts w:hint="eastAsia" w:ascii="宋体" w:hAnsi="宋体" w:cs="Arial"/>
                <w:szCs w:val="21"/>
              </w:rPr>
              <w:t>的工作方案进行综合评分:</w:t>
            </w:r>
          </w:p>
          <w:p w14:paraId="40F1BBD6">
            <w:pPr>
              <w:spacing w:line="360" w:lineRule="exact"/>
              <w:rPr>
                <w:rFonts w:ascii="宋体" w:hAnsi="宋体" w:cs="Arial"/>
                <w:szCs w:val="21"/>
              </w:rPr>
            </w:pPr>
            <w:r>
              <w:rPr>
                <w:rFonts w:hint="eastAsia" w:ascii="宋体" w:hAnsi="宋体" w:cs="Arial"/>
                <w:szCs w:val="21"/>
              </w:rPr>
              <w:t>方案需涵盖</w:t>
            </w:r>
            <w:r>
              <w:rPr>
                <w:rFonts w:hint="eastAsia" w:ascii="宋体" w:hAnsi="宋体" w:cs="Arial"/>
                <w:b/>
                <w:bCs/>
                <w:szCs w:val="21"/>
              </w:rPr>
              <w:t>阳性样品复核、下架、法检衔接</w:t>
            </w:r>
            <w:r>
              <w:rPr>
                <w:rFonts w:hint="eastAsia" w:ascii="宋体" w:hAnsi="宋体" w:cs="Arial"/>
                <w:szCs w:val="21"/>
              </w:rPr>
              <w:t>等相关内容，方案优于采购需求的得 5分；基本满足采购需求的得3分；</w:t>
            </w:r>
            <w:r>
              <w:rPr>
                <w:rFonts w:hint="eastAsia" w:ascii="宋体" w:hAnsi="宋体"/>
                <w:szCs w:val="21"/>
              </w:rPr>
              <w:t>方案不满足采购需求或者未提供方案的不得分</w:t>
            </w:r>
            <w:r>
              <w:rPr>
                <w:rFonts w:hint="eastAsia" w:ascii="宋体" w:hAnsi="宋体" w:cs="Arial"/>
                <w:szCs w:val="21"/>
              </w:rPr>
              <w:t>。</w:t>
            </w:r>
          </w:p>
        </w:tc>
      </w:tr>
      <w:tr w14:paraId="4C71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77" w:type="pct"/>
            <w:vAlign w:val="center"/>
          </w:tcPr>
          <w:p w14:paraId="1C9955AD">
            <w:pPr>
              <w:spacing w:line="360" w:lineRule="exact"/>
              <w:jc w:val="center"/>
              <w:rPr>
                <w:rFonts w:ascii="宋体" w:hAnsi="宋体"/>
                <w:szCs w:val="21"/>
              </w:rPr>
            </w:pPr>
          </w:p>
        </w:tc>
        <w:tc>
          <w:tcPr>
            <w:tcW w:w="561" w:type="pct"/>
            <w:vMerge w:val="continue"/>
            <w:vAlign w:val="center"/>
          </w:tcPr>
          <w:p w14:paraId="4178A01F">
            <w:pPr>
              <w:spacing w:line="360" w:lineRule="exact"/>
              <w:jc w:val="center"/>
              <w:rPr>
                <w:rFonts w:ascii="宋体" w:hAnsi="宋体"/>
                <w:szCs w:val="21"/>
              </w:rPr>
            </w:pPr>
          </w:p>
        </w:tc>
        <w:tc>
          <w:tcPr>
            <w:tcW w:w="501" w:type="pct"/>
            <w:vAlign w:val="center"/>
          </w:tcPr>
          <w:p w14:paraId="4BA389AC">
            <w:pPr>
              <w:spacing w:line="360" w:lineRule="exact"/>
              <w:jc w:val="center"/>
              <w:rPr>
                <w:rFonts w:ascii="宋体" w:hAnsi="宋体"/>
                <w:szCs w:val="21"/>
              </w:rPr>
            </w:pPr>
            <w:r>
              <w:rPr>
                <w:rFonts w:hint="eastAsia" w:ascii="宋体" w:hAnsi="宋体"/>
                <w:szCs w:val="21"/>
              </w:rPr>
              <w:t>培训方案（10分）</w:t>
            </w:r>
          </w:p>
        </w:tc>
        <w:tc>
          <w:tcPr>
            <w:tcW w:w="3558" w:type="pct"/>
            <w:vAlign w:val="center"/>
          </w:tcPr>
          <w:p w14:paraId="5BE55F1A">
            <w:pPr>
              <w:spacing w:line="360" w:lineRule="exact"/>
              <w:rPr>
                <w:rFonts w:ascii="宋体" w:hAnsi="宋体" w:cs="Arial"/>
                <w:szCs w:val="21"/>
              </w:rPr>
            </w:pPr>
            <w:r>
              <w:rPr>
                <w:rFonts w:hint="eastAsia" w:ascii="宋体" w:hAnsi="宋体" w:cs="Arial"/>
                <w:szCs w:val="21"/>
              </w:rPr>
              <w:t>磋商小组针对投标人对本项目提供的检测服务人员和</w:t>
            </w:r>
            <w:r>
              <w:rPr>
                <w:rFonts w:hint="eastAsia" w:ascii="宋体" w:hAnsi="宋体" w:cs="Arial"/>
                <w:b/>
                <w:bCs/>
                <w:szCs w:val="21"/>
              </w:rPr>
              <w:t>甲方快检中心检测人员</w:t>
            </w:r>
            <w:r>
              <w:rPr>
                <w:rFonts w:hint="eastAsia" w:ascii="宋体" w:hAnsi="宋体" w:cs="Arial"/>
                <w:szCs w:val="21"/>
              </w:rPr>
              <w:t>培训方案进行综合评分，方案需涵盖以下内容:</w:t>
            </w:r>
          </w:p>
          <w:p w14:paraId="097E5D90">
            <w:pPr>
              <w:spacing w:line="360" w:lineRule="exact"/>
              <w:rPr>
                <w:rFonts w:ascii="宋体" w:hAnsi="宋体" w:cs="Arial"/>
                <w:szCs w:val="21"/>
              </w:rPr>
            </w:pPr>
            <w:r>
              <w:rPr>
                <w:rFonts w:hint="eastAsia" w:ascii="宋体" w:hAnsi="宋体" w:cs="Arial"/>
                <w:szCs w:val="21"/>
              </w:rPr>
              <w:t>(1)培训目标及计划</w:t>
            </w:r>
          </w:p>
          <w:p w14:paraId="4FD80D1E">
            <w:pPr>
              <w:spacing w:line="360" w:lineRule="exact"/>
              <w:rPr>
                <w:rFonts w:ascii="宋体" w:hAnsi="宋体" w:cs="Arial"/>
                <w:szCs w:val="21"/>
              </w:rPr>
            </w:pPr>
            <w:r>
              <w:rPr>
                <w:rFonts w:hint="eastAsia" w:ascii="宋体" w:hAnsi="宋体" w:cs="Arial"/>
                <w:szCs w:val="21"/>
              </w:rPr>
              <w:t>(2)培训方式</w:t>
            </w:r>
          </w:p>
          <w:p w14:paraId="2E7C0D65">
            <w:pPr>
              <w:spacing w:line="360" w:lineRule="exact"/>
              <w:rPr>
                <w:rFonts w:ascii="宋体" w:hAnsi="宋体" w:cs="Arial"/>
                <w:szCs w:val="21"/>
              </w:rPr>
            </w:pPr>
            <w:r>
              <w:rPr>
                <w:rFonts w:hint="eastAsia" w:ascii="宋体" w:hAnsi="宋体" w:cs="Arial"/>
                <w:szCs w:val="21"/>
              </w:rPr>
              <w:t>(3)培训内容</w:t>
            </w:r>
          </w:p>
          <w:p w14:paraId="681A98D5">
            <w:pPr>
              <w:spacing w:line="360" w:lineRule="exact"/>
              <w:rPr>
                <w:rFonts w:ascii="宋体" w:hAnsi="宋体" w:cs="Arial"/>
                <w:szCs w:val="21"/>
              </w:rPr>
            </w:pPr>
            <w:r>
              <w:rPr>
                <w:rFonts w:hint="eastAsia" w:ascii="宋体" w:hAnsi="宋体" w:cs="Arial"/>
                <w:szCs w:val="21"/>
              </w:rPr>
              <w:t>(4)培训评估</w:t>
            </w:r>
          </w:p>
          <w:p w14:paraId="5F66059C">
            <w:pPr>
              <w:spacing w:line="360" w:lineRule="exact"/>
              <w:rPr>
                <w:rFonts w:ascii="宋体" w:hAnsi="宋体" w:cs="Arial"/>
                <w:szCs w:val="21"/>
              </w:rPr>
            </w:pPr>
            <w:r>
              <w:rPr>
                <w:rFonts w:hint="eastAsia" w:ascii="宋体" w:hAnsi="宋体" w:cs="Arial"/>
                <w:szCs w:val="21"/>
              </w:rPr>
              <w:t>(5)培训不合格人员惩戒</w:t>
            </w:r>
          </w:p>
          <w:p w14:paraId="67F21087">
            <w:pPr>
              <w:spacing w:line="360" w:lineRule="exact"/>
              <w:rPr>
                <w:rFonts w:ascii="宋体" w:hAnsi="宋体" w:cs="Arial"/>
                <w:szCs w:val="21"/>
              </w:rPr>
            </w:pPr>
            <w:r>
              <w:rPr>
                <w:rFonts w:hint="eastAsia" w:ascii="宋体" w:hAnsi="宋体" w:cs="Arial"/>
                <w:szCs w:val="21"/>
              </w:rPr>
              <w:t>方案优于采购需求的得 10分；方案满足采购需求的得8分；</w:t>
            </w:r>
            <w:r>
              <w:rPr>
                <w:rFonts w:hint="eastAsia" w:ascii="宋体" w:hAnsi="宋体"/>
                <w:szCs w:val="21"/>
              </w:rPr>
              <w:t>方案不满足采购需求或者未提供方案的不得分。</w:t>
            </w:r>
          </w:p>
        </w:tc>
      </w:tr>
      <w:tr w14:paraId="5FC9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77" w:type="pct"/>
            <w:vAlign w:val="center"/>
          </w:tcPr>
          <w:p w14:paraId="278A0468">
            <w:pPr>
              <w:spacing w:line="360" w:lineRule="exact"/>
              <w:jc w:val="center"/>
              <w:rPr>
                <w:rFonts w:ascii="宋体" w:hAnsi="宋体"/>
                <w:szCs w:val="21"/>
              </w:rPr>
            </w:pPr>
            <w:r>
              <w:rPr>
                <w:rFonts w:hint="eastAsia" w:ascii="宋体" w:hAnsi="宋体"/>
                <w:szCs w:val="21"/>
              </w:rPr>
              <w:t>8</w:t>
            </w:r>
          </w:p>
        </w:tc>
        <w:tc>
          <w:tcPr>
            <w:tcW w:w="561" w:type="pct"/>
            <w:vMerge w:val="continue"/>
            <w:vAlign w:val="center"/>
          </w:tcPr>
          <w:p w14:paraId="74D7CABE">
            <w:pPr>
              <w:spacing w:line="360" w:lineRule="exact"/>
              <w:jc w:val="center"/>
              <w:rPr>
                <w:rFonts w:ascii="宋体" w:hAnsi="宋体"/>
                <w:szCs w:val="21"/>
              </w:rPr>
            </w:pPr>
          </w:p>
        </w:tc>
        <w:tc>
          <w:tcPr>
            <w:tcW w:w="501" w:type="pct"/>
            <w:vAlign w:val="center"/>
          </w:tcPr>
          <w:p w14:paraId="1589C75F">
            <w:pPr>
              <w:spacing w:line="360" w:lineRule="exact"/>
              <w:rPr>
                <w:rFonts w:ascii="宋体" w:hAnsi="宋体" w:cs="Arial"/>
                <w:szCs w:val="21"/>
              </w:rPr>
            </w:pPr>
            <w:r>
              <w:rPr>
                <w:rFonts w:hint="eastAsia" w:ascii="宋体" w:hAnsi="宋体" w:cs="Arial"/>
                <w:szCs w:val="21"/>
              </w:rPr>
              <w:t>绩效考核制度(5 分)</w:t>
            </w:r>
          </w:p>
          <w:p w14:paraId="61B25429">
            <w:pPr>
              <w:spacing w:line="360" w:lineRule="exact"/>
              <w:jc w:val="center"/>
              <w:rPr>
                <w:rFonts w:ascii="宋体" w:hAnsi="宋体"/>
                <w:szCs w:val="21"/>
              </w:rPr>
            </w:pPr>
          </w:p>
        </w:tc>
        <w:tc>
          <w:tcPr>
            <w:tcW w:w="3558" w:type="pct"/>
            <w:vAlign w:val="center"/>
          </w:tcPr>
          <w:p w14:paraId="1153A222">
            <w:pPr>
              <w:spacing w:line="360" w:lineRule="exact"/>
              <w:rPr>
                <w:rFonts w:ascii="宋体" w:hAnsi="宋体" w:cs="Arial"/>
                <w:szCs w:val="21"/>
              </w:rPr>
            </w:pPr>
            <w:r>
              <w:rPr>
                <w:rFonts w:hint="eastAsia" w:ascii="宋体" w:hAnsi="宋体" w:cs="Arial"/>
                <w:szCs w:val="21"/>
              </w:rPr>
              <w:t>磋商小组针对投标人对本项目检测服务人员制定的绩效挂钩和奖惩制度进行综合评分，方案需涵盖以下内容:</w:t>
            </w:r>
          </w:p>
          <w:p w14:paraId="507FA1C8">
            <w:pPr>
              <w:spacing w:line="360" w:lineRule="exact"/>
              <w:rPr>
                <w:rFonts w:ascii="宋体" w:hAnsi="宋体" w:cs="Arial"/>
                <w:szCs w:val="21"/>
              </w:rPr>
            </w:pPr>
            <w:r>
              <w:rPr>
                <w:rFonts w:hint="eastAsia" w:ascii="宋体" w:hAnsi="宋体" w:cs="Arial"/>
                <w:szCs w:val="21"/>
              </w:rPr>
              <w:t>(1)人员每日工作业绩考核</w:t>
            </w:r>
          </w:p>
          <w:p w14:paraId="4B6E4EAC">
            <w:pPr>
              <w:spacing w:line="360" w:lineRule="exact"/>
              <w:rPr>
                <w:rFonts w:ascii="宋体" w:hAnsi="宋体" w:cs="Arial"/>
                <w:szCs w:val="21"/>
              </w:rPr>
            </w:pPr>
            <w:r>
              <w:rPr>
                <w:rFonts w:hint="eastAsia" w:ascii="宋体" w:hAnsi="宋体" w:cs="Arial"/>
                <w:szCs w:val="21"/>
              </w:rPr>
              <w:t>(2)人员工作质量考核</w:t>
            </w:r>
          </w:p>
          <w:p w14:paraId="61CCEE3B">
            <w:pPr>
              <w:spacing w:line="360" w:lineRule="exact"/>
              <w:rPr>
                <w:rFonts w:ascii="宋体" w:hAnsi="宋体" w:cs="Arial"/>
                <w:szCs w:val="21"/>
              </w:rPr>
            </w:pPr>
            <w:r>
              <w:rPr>
                <w:rFonts w:hint="eastAsia" w:ascii="宋体" w:hAnsi="宋体" w:cs="Arial"/>
                <w:szCs w:val="21"/>
              </w:rPr>
              <w:t>(3)人员规范操作考核</w:t>
            </w:r>
          </w:p>
          <w:p w14:paraId="0DDC2DCB">
            <w:pPr>
              <w:spacing w:line="360" w:lineRule="exact"/>
              <w:rPr>
                <w:rFonts w:ascii="宋体" w:hAnsi="宋体" w:cs="Arial"/>
                <w:szCs w:val="21"/>
              </w:rPr>
            </w:pPr>
            <w:r>
              <w:rPr>
                <w:rFonts w:hint="eastAsia" w:ascii="宋体" w:hAnsi="宋体" w:cs="Arial"/>
                <w:szCs w:val="21"/>
              </w:rPr>
              <w:t>(4)人员工作纪律考核</w:t>
            </w:r>
          </w:p>
          <w:p w14:paraId="52D58ED9">
            <w:pPr>
              <w:spacing w:line="360" w:lineRule="exact"/>
              <w:rPr>
                <w:rFonts w:ascii="宋体" w:hAnsi="宋体" w:cs="Arial"/>
                <w:szCs w:val="21"/>
              </w:rPr>
            </w:pPr>
            <w:r>
              <w:rPr>
                <w:rFonts w:hint="eastAsia" w:ascii="宋体" w:hAnsi="宋体" w:cs="Arial"/>
                <w:szCs w:val="21"/>
              </w:rPr>
              <w:t>(5)具体奖惩措施</w:t>
            </w:r>
          </w:p>
          <w:p w14:paraId="65D60D52">
            <w:pPr>
              <w:spacing w:line="360" w:lineRule="exact"/>
              <w:rPr>
                <w:rFonts w:ascii="宋体" w:hAnsi="宋体" w:cs="Arial"/>
                <w:szCs w:val="21"/>
              </w:rPr>
            </w:pPr>
            <w:r>
              <w:rPr>
                <w:rFonts w:hint="eastAsia" w:ascii="宋体" w:hAnsi="宋体" w:cs="Arial"/>
                <w:szCs w:val="21"/>
              </w:rPr>
              <w:t>方案优于采购需求的得5分；方案基本满足采购需求的得3分；</w:t>
            </w:r>
            <w:r>
              <w:rPr>
                <w:rFonts w:hint="eastAsia" w:ascii="宋体" w:hAnsi="宋体"/>
                <w:szCs w:val="21"/>
              </w:rPr>
              <w:t>方案不满足项目需求或者未提供方案的不得分</w:t>
            </w:r>
            <w:r>
              <w:rPr>
                <w:rFonts w:hint="eastAsia" w:ascii="宋体" w:hAnsi="宋体" w:cs="Arial"/>
                <w:szCs w:val="21"/>
              </w:rPr>
              <w:t>。</w:t>
            </w:r>
          </w:p>
        </w:tc>
      </w:tr>
    </w:tbl>
    <w:p w14:paraId="46A197F6">
      <w:pPr>
        <w:pStyle w:val="16"/>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92B0321">
      <w:pPr>
        <w:pStyle w:val="16"/>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82B26D3">
      <w:pPr>
        <w:pStyle w:val="16"/>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11499B1B">
      <w:pPr>
        <w:pStyle w:val="16"/>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1D90C609">
      <w:pPr>
        <w:pStyle w:val="16"/>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53A34CB">
      <w:pPr>
        <w:pStyle w:val="16"/>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C1F0B1D">
      <w:pPr>
        <w:pStyle w:val="16"/>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59785FB0">
      <w:pPr>
        <w:pStyle w:val="16"/>
        <w:spacing w:beforeAutospacing="0" w:afterAutospacing="0"/>
        <w:jc w:val="both"/>
        <w:rPr>
          <w:color w:val="auto"/>
          <w:sz w:val="24"/>
          <w:szCs w:val="24"/>
          <w:highlight w:val="none"/>
        </w:rPr>
      </w:pPr>
      <w:r>
        <w:rPr>
          <w:color w:val="auto"/>
          <w:sz w:val="24"/>
          <w:szCs w:val="24"/>
          <w:highlight w:val="none"/>
        </w:rPr>
        <w:t> </w:t>
      </w:r>
    </w:p>
    <w:p w14:paraId="00A2BAFA">
      <w:pPr>
        <w:pStyle w:val="16"/>
        <w:spacing w:beforeAutospacing="0" w:afterAutospacing="0"/>
        <w:jc w:val="both"/>
        <w:rPr>
          <w:color w:val="auto"/>
          <w:sz w:val="24"/>
          <w:szCs w:val="24"/>
          <w:highlight w:val="none"/>
        </w:rPr>
      </w:pPr>
      <w:r>
        <w:rPr>
          <w:color w:val="auto"/>
          <w:sz w:val="24"/>
          <w:szCs w:val="24"/>
          <w:highlight w:val="none"/>
        </w:rPr>
        <w:t> </w:t>
      </w:r>
    </w:p>
    <w:p w14:paraId="10AAE876">
      <w:pPr>
        <w:pStyle w:val="16"/>
        <w:spacing w:beforeAutospacing="0" w:afterAutospacing="0"/>
        <w:jc w:val="both"/>
        <w:rPr>
          <w:color w:val="auto"/>
          <w:sz w:val="24"/>
          <w:szCs w:val="24"/>
          <w:highlight w:val="none"/>
        </w:rPr>
      </w:pPr>
      <w:r>
        <w:rPr>
          <w:color w:val="auto"/>
          <w:sz w:val="24"/>
          <w:szCs w:val="24"/>
          <w:highlight w:val="none"/>
        </w:rPr>
        <w:t> </w:t>
      </w:r>
    </w:p>
    <w:p w14:paraId="180ADF08">
      <w:pPr>
        <w:pStyle w:val="16"/>
        <w:spacing w:beforeAutospacing="0" w:afterAutospacing="0"/>
        <w:jc w:val="both"/>
        <w:rPr>
          <w:color w:val="auto"/>
          <w:sz w:val="24"/>
          <w:szCs w:val="24"/>
          <w:highlight w:val="none"/>
        </w:rPr>
      </w:pPr>
      <w:r>
        <w:rPr>
          <w:color w:val="auto"/>
          <w:sz w:val="24"/>
          <w:szCs w:val="24"/>
          <w:highlight w:val="none"/>
        </w:rPr>
        <w:t> </w:t>
      </w:r>
    </w:p>
    <w:p w14:paraId="1B690A39">
      <w:pPr>
        <w:pStyle w:val="16"/>
        <w:keepNext/>
        <w:spacing w:beforeAutospacing="0" w:afterAutospacing="0"/>
        <w:jc w:val="center"/>
        <w:rPr>
          <w:color w:val="auto"/>
          <w:sz w:val="24"/>
          <w:szCs w:val="24"/>
          <w:highlight w:val="none"/>
        </w:rPr>
      </w:pPr>
      <w:r>
        <w:rPr>
          <w:rFonts w:hint="eastAsia" w:ascii="黑体" w:hAnsi="宋体" w:eastAsia="黑体" w:cs="黑体"/>
          <w:color w:val="auto"/>
          <w:sz w:val="48"/>
          <w:szCs w:val="48"/>
          <w:highlight w:val="none"/>
        </w:rPr>
        <w:t>第六章  响应文件格式</w:t>
      </w:r>
      <w:r>
        <w:rPr>
          <w:rFonts w:hint="eastAsia" w:ascii="黑体" w:hAnsi="宋体" w:eastAsia="黑体" w:cs="黑体"/>
          <w:color w:val="auto"/>
          <w:sz w:val="44"/>
          <w:szCs w:val="44"/>
          <w:highlight w:val="none"/>
        </w:rPr>
        <w:t xml:space="preserve"> </w:t>
      </w:r>
    </w:p>
    <w:p w14:paraId="456C4E10">
      <w:pPr>
        <w:pStyle w:val="16"/>
        <w:spacing w:beforeAutospacing="0" w:afterAutospacing="0"/>
        <w:jc w:val="center"/>
        <w:rPr>
          <w:rFonts w:hint="eastAsia" w:ascii="宋体" w:hAnsi="宋体" w:eastAsia="宋体" w:cs="宋体"/>
          <w:b/>
          <w:color w:val="auto"/>
          <w:sz w:val="72"/>
          <w:szCs w:val="72"/>
          <w:highlight w:val="none"/>
        </w:rPr>
      </w:pPr>
      <w:bookmarkStart w:id="170" w:name="_Toc49090576"/>
      <w:bookmarkEnd w:id="170"/>
      <w:bookmarkStart w:id="171" w:name="_Toc120614282"/>
      <w:bookmarkEnd w:id="171"/>
      <w:bookmarkStart w:id="172" w:name="_Hlt26671244"/>
      <w:bookmarkStart w:id="173" w:name="_Toc26554094"/>
      <w:bookmarkStart w:id="174" w:name="_Hlt26955039"/>
    </w:p>
    <w:p w14:paraId="5AF686D5">
      <w:pPr>
        <w:pStyle w:val="16"/>
        <w:spacing w:beforeAutospacing="0" w:afterAutospacing="0"/>
        <w:jc w:val="center"/>
        <w:rPr>
          <w:color w:val="auto"/>
          <w:sz w:val="24"/>
          <w:szCs w:val="24"/>
          <w:highlight w:val="none"/>
        </w:rPr>
      </w:pPr>
      <w:r>
        <w:rPr>
          <w:rFonts w:hint="eastAsia" w:ascii="宋体" w:hAnsi="宋体" w:eastAsia="宋体" w:cs="宋体"/>
          <w:b/>
          <w:color w:val="auto"/>
          <w:sz w:val="72"/>
          <w:szCs w:val="72"/>
          <w:highlight w:val="none"/>
        </w:rPr>
        <w:t>响  应  文  件</w:t>
      </w:r>
    </w:p>
    <w:p w14:paraId="115CD384">
      <w:pPr>
        <w:pStyle w:val="16"/>
        <w:spacing w:beforeAutospacing="0" w:afterAutospacing="0"/>
        <w:jc w:val="center"/>
        <w:rPr>
          <w:color w:val="auto"/>
          <w:sz w:val="24"/>
          <w:szCs w:val="24"/>
          <w:highlight w:val="none"/>
        </w:rPr>
      </w:pPr>
      <w:r>
        <w:rPr>
          <w:color w:val="auto"/>
          <w:sz w:val="24"/>
          <w:szCs w:val="24"/>
          <w:highlight w:val="none"/>
        </w:rPr>
        <w:t> </w:t>
      </w:r>
    </w:p>
    <w:p w14:paraId="51BB14D4">
      <w:pPr>
        <w:pStyle w:val="16"/>
        <w:spacing w:beforeAutospacing="0" w:afterAutospacing="0"/>
        <w:jc w:val="center"/>
        <w:rPr>
          <w:color w:val="auto"/>
          <w:sz w:val="24"/>
          <w:szCs w:val="24"/>
          <w:highlight w:val="none"/>
        </w:rPr>
      </w:pPr>
      <w:r>
        <w:rPr>
          <w:color w:val="auto"/>
          <w:sz w:val="24"/>
          <w:szCs w:val="24"/>
          <w:highlight w:val="none"/>
        </w:rPr>
        <w:t> </w:t>
      </w:r>
    </w:p>
    <w:p w14:paraId="32E70BBA">
      <w:pPr>
        <w:pStyle w:val="16"/>
        <w:spacing w:beforeAutospacing="0" w:afterAutospacing="0"/>
        <w:jc w:val="center"/>
        <w:rPr>
          <w:color w:val="auto"/>
          <w:sz w:val="24"/>
          <w:szCs w:val="24"/>
          <w:highlight w:val="none"/>
        </w:rPr>
      </w:pPr>
      <w:r>
        <w:rPr>
          <w:color w:val="auto"/>
          <w:sz w:val="24"/>
          <w:szCs w:val="24"/>
          <w:highlight w:val="none"/>
        </w:rPr>
        <w:t> </w:t>
      </w:r>
    </w:p>
    <w:p w14:paraId="68F58724">
      <w:pPr>
        <w:pStyle w:val="16"/>
        <w:spacing w:beforeAutospacing="0" w:afterAutospacing="0"/>
        <w:jc w:val="center"/>
        <w:rPr>
          <w:color w:val="auto"/>
          <w:sz w:val="24"/>
          <w:szCs w:val="24"/>
          <w:highlight w:val="none"/>
        </w:rPr>
      </w:pPr>
      <w:r>
        <w:rPr>
          <w:color w:val="auto"/>
          <w:sz w:val="24"/>
          <w:szCs w:val="24"/>
          <w:highlight w:val="none"/>
        </w:rPr>
        <w:t> </w:t>
      </w:r>
    </w:p>
    <w:p w14:paraId="19DFB57E">
      <w:pPr>
        <w:pStyle w:val="16"/>
        <w:spacing w:beforeAutospacing="0" w:afterAutospacing="0"/>
        <w:jc w:val="center"/>
        <w:rPr>
          <w:color w:val="auto"/>
          <w:sz w:val="24"/>
          <w:szCs w:val="24"/>
          <w:highlight w:val="none"/>
        </w:rPr>
      </w:pPr>
      <w:r>
        <w:rPr>
          <w:color w:val="auto"/>
          <w:sz w:val="24"/>
          <w:szCs w:val="24"/>
          <w:highlight w:val="none"/>
        </w:rPr>
        <w:t> </w:t>
      </w:r>
    </w:p>
    <w:p w14:paraId="502D6093">
      <w:pPr>
        <w:pStyle w:val="16"/>
        <w:spacing w:beforeAutospacing="0" w:afterAutospacing="0"/>
        <w:ind w:firstLine="1084"/>
        <w:jc w:val="both"/>
        <w:rPr>
          <w:color w:val="auto"/>
          <w:sz w:val="24"/>
          <w:szCs w:val="24"/>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6"/>
        <w:spacing w:beforeAutospacing="0" w:afterAutospacing="0"/>
        <w:ind w:firstLine="1084"/>
        <w:jc w:val="both"/>
        <w:rPr>
          <w:color w:val="auto"/>
          <w:sz w:val="24"/>
          <w:szCs w:val="24"/>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6"/>
        <w:spacing w:beforeAutospacing="0" w:afterAutospacing="0"/>
        <w:jc w:val="both"/>
        <w:rPr>
          <w:rFonts w:hint="default" w:eastAsia="宋体"/>
          <w:color w:val="auto"/>
          <w:sz w:val="24"/>
          <w:szCs w:val="24"/>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6"/>
        <w:spacing w:beforeAutospacing="0" w:afterAutospacing="0"/>
        <w:jc w:val="both"/>
        <w:rPr>
          <w:rFonts w:hint="default" w:eastAsia="宋体"/>
          <w:color w:val="auto"/>
          <w:sz w:val="24"/>
          <w:szCs w:val="24"/>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7517C865">
      <w:pPr>
        <w:pStyle w:val="16"/>
        <w:spacing w:beforeAutospacing="0" w:afterAutospacing="0" w:line="0" w:lineRule="atLeast"/>
        <w:jc w:val="center"/>
        <w:rPr>
          <w:rFonts w:ascii="宋体" w:hAnsi="宋体" w:eastAsia="宋体" w:cs="宋体"/>
          <w:b/>
          <w:color w:val="auto"/>
          <w:sz w:val="32"/>
          <w:szCs w:val="32"/>
          <w:highlight w:val="none"/>
        </w:rPr>
      </w:pPr>
    </w:p>
    <w:p w14:paraId="465CC484">
      <w:pPr>
        <w:pStyle w:val="16"/>
        <w:spacing w:beforeAutospacing="0" w:afterAutospacing="0" w:line="0" w:lineRule="atLeast"/>
        <w:jc w:val="center"/>
        <w:rPr>
          <w:rFonts w:ascii="宋体" w:hAnsi="宋体" w:eastAsia="宋体" w:cs="宋体"/>
          <w:b/>
          <w:color w:val="auto"/>
          <w:sz w:val="32"/>
          <w:szCs w:val="32"/>
          <w:highlight w:val="none"/>
        </w:rPr>
      </w:pPr>
    </w:p>
    <w:p w14:paraId="5C0B7A81">
      <w:pPr>
        <w:pStyle w:val="16"/>
        <w:spacing w:beforeAutospacing="0" w:afterAutospacing="0" w:line="0" w:lineRule="atLeast"/>
        <w:jc w:val="center"/>
        <w:rPr>
          <w:rFonts w:ascii="宋体" w:hAnsi="宋体" w:eastAsia="宋体" w:cs="宋体"/>
          <w:b/>
          <w:color w:val="auto"/>
          <w:sz w:val="32"/>
          <w:szCs w:val="32"/>
          <w:highlight w:val="none"/>
        </w:rPr>
      </w:pPr>
    </w:p>
    <w:p w14:paraId="3E140484">
      <w:pPr>
        <w:pStyle w:val="16"/>
        <w:spacing w:beforeAutospacing="0" w:afterAutospacing="0" w:line="0" w:lineRule="atLeast"/>
        <w:jc w:val="center"/>
        <w:rPr>
          <w:rFonts w:ascii="宋体" w:hAnsi="宋体" w:eastAsia="宋体" w:cs="宋体"/>
          <w:b/>
          <w:color w:val="auto"/>
          <w:sz w:val="32"/>
          <w:szCs w:val="32"/>
          <w:highlight w:val="none"/>
        </w:rPr>
      </w:pPr>
    </w:p>
    <w:p w14:paraId="32529CB3">
      <w:pPr>
        <w:pStyle w:val="16"/>
        <w:spacing w:beforeAutospacing="0" w:afterAutospacing="0" w:line="0" w:lineRule="atLeast"/>
        <w:jc w:val="center"/>
        <w:rPr>
          <w:rFonts w:ascii="宋体" w:hAnsi="宋体" w:eastAsia="宋体" w:cs="宋体"/>
          <w:b/>
          <w:color w:val="auto"/>
          <w:sz w:val="32"/>
          <w:szCs w:val="32"/>
          <w:highlight w:val="none"/>
        </w:rPr>
      </w:pPr>
    </w:p>
    <w:p w14:paraId="56CD0E9A">
      <w:pPr>
        <w:pStyle w:val="16"/>
        <w:spacing w:beforeAutospacing="0" w:afterAutospacing="0" w:line="0" w:lineRule="atLeast"/>
        <w:jc w:val="center"/>
        <w:rPr>
          <w:rFonts w:ascii="宋体" w:hAnsi="宋体" w:eastAsia="宋体" w:cs="宋体"/>
          <w:b/>
          <w:color w:val="auto"/>
          <w:sz w:val="32"/>
          <w:szCs w:val="32"/>
          <w:highlight w:val="none"/>
        </w:rPr>
      </w:pPr>
    </w:p>
    <w:p w14:paraId="3D5DA5FA">
      <w:pPr>
        <w:pStyle w:val="16"/>
        <w:spacing w:beforeAutospacing="0" w:afterAutospacing="0" w:line="0" w:lineRule="atLeast"/>
        <w:jc w:val="center"/>
        <w:rPr>
          <w:rFonts w:ascii="宋体" w:hAnsi="宋体" w:eastAsia="宋体" w:cs="宋体"/>
          <w:b/>
          <w:color w:val="auto"/>
          <w:sz w:val="32"/>
          <w:szCs w:val="32"/>
          <w:highlight w:val="none"/>
        </w:rPr>
      </w:pPr>
    </w:p>
    <w:p w14:paraId="1ECC92CD">
      <w:pPr>
        <w:pStyle w:val="16"/>
        <w:spacing w:beforeAutospacing="0" w:afterAutospacing="0" w:line="0" w:lineRule="atLeast"/>
        <w:jc w:val="center"/>
        <w:rPr>
          <w:rFonts w:ascii="宋体" w:hAnsi="宋体" w:eastAsia="宋体" w:cs="宋体"/>
          <w:b/>
          <w:color w:val="auto"/>
          <w:sz w:val="32"/>
          <w:szCs w:val="32"/>
          <w:highlight w:val="none"/>
        </w:rPr>
      </w:pPr>
    </w:p>
    <w:p w14:paraId="1EFA9249">
      <w:pPr>
        <w:pStyle w:val="16"/>
        <w:spacing w:beforeAutospacing="0" w:afterAutospacing="0" w:line="0" w:lineRule="atLeast"/>
        <w:jc w:val="center"/>
        <w:rPr>
          <w:rFonts w:ascii="宋体" w:hAnsi="宋体" w:eastAsia="宋体" w:cs="宋体"/>
          <w:b/>
          <w:color w:val="auto"/>
          <w:sz w:val="32"/>
          <w:szCs w:val="32"/>
          <w:highlight w:val="none"/>
        </w:rPr>
      </w:pPr>
    </w:p>
    <w:p w14:paraId="334EBA78">
      <w:pPr>
        <w:pStyle w:val="16"/>
        <w:spacing w:beforeAutospacing="0" w:afterAutospacing="0" w:line="0" w:lineRule="atLeast"/>
        <w:jc w:val="center"/>
        <w:rPr>
          <w:rFonts w:ascii="宋体" w:hAnsi="宋体" w:eastAsia="宋体" w:cs="宋体"/>
          <w:b/>
          <w:color w:val="auto"/>
          <w:sz w:val="32"/>
          <w:szCs w:val="32"/>
          <w:highlight w:val="none"/>
        </w:rPr>
      </w:pPr>
    </w:p>
    <w:p w14:paraId="0D920710">
      <w:pPr>
        <w:pStyle w:val="16"/>
        <w:spacing w:beforeAutospacing="0" w:afterAutospacing="0" w:line="0" w:lineRule="atLeast"/>
        <w:jc w:val="center"/>
        <w:rPr>
          <w:rFonts w:ascii="宋体" w:hAnsi="宋体" w:eastAsia="宋体" w:cs="宋体"/>
          <w:b/>
          <w:color w:val="auto"/>
          <w:sz w:val="32"/>
          <w:szCs w:val="32"/>
          <w:highlight w:val="none"/>
        </w:rPr>
      </w:pPr>
    </w:p>
    <w:p w14:paraId="6F3BE31D">
      <w:pPr>
        <w:pStyle w:val="16"/>
        <w:spacing w:beforeAutospacing="0" w:afterAutospacing="0" w:line="0" w:lineRule="atLeast"/>
        <w:jc w:val="center"/>
        <w:rPr>
          <w:rFonts w:ascii="宋体" w:hAnsi="宋体" w:eastAsia="宋体" w:cs="宋体"/>
          <w:b/>
          <w:color w:val="auto"/>
          <w:sz w:val="32"/>
          <w:szCs w:val="32"/>
          <w:highlight w:val="none"/>
        </w:rPr>
      </w:pPr>
    </w:p>
    <w:p w14:paraId="37DFFD03">
      <w:pPr>
        <w:pStyle w:val="16"/>
        <w:spacing w:beforeAutospacing="0" w:afterAutospacing="0" w:line="0" w:lineRule="atLeast"/>
        <w:jc w:val="center"/>
        <w:rPr>
          <w:rFonts w:ascii="宋体" w:hAnsi="宋体" w:eastAsia="宋体" w:cs="宋体"/>
          <w:b/>
          <w:color w:val="auto"/>
          <w:sz w:val="32"/>
          <w:szCs w:val="32"/>
          <w:highlight w:val="none"/>
        </w:rPr>
      </w:pPr>
    </w:p>
    <w:p w14:paraId="532FF12D">
      <w:pPr>
        <w:pStyle w:val="16"/>
        <w:spacing w:beforeAutospacing="0" w:afterAutospacing="0" w:line="0" w:lineRule="atLeast"/>
        <w:jc w:val="center"/>
        <w:rPr>
          <w:rFonts w:ascii="宋体" w:hAnsi="宋体" w:eastAsia="宋体" w:cs="宋体"/>
          <w:b/>
          <w:color w:val="auto"/>
          <w:sz w:val="32"/>
          <w:szCs w:val="32"/>
          <w:highlight w:val="none"/>
        </w:rPr>
      </w:pPr>
    </w:p>
    <w:p w14:paraId="4888380E">
      <w:pPr>
        <w:pStyle w:val="16"/>
        <w:spacing w:beforeAutospacing="0" w:afterAutospacing="0" w:line="0" w:lineRule="atLeast"/>
        <w:jc w:val="both"/>
        <w:rPr>
          <w:rFonts w:ascii="宋体" w:hAnsi="宋体" w:eastAsia="宋体" w:cs="宋体"/>
          <w:b/>
          <w:color w:val="auto"/>
          <w:sz w:val="32"/>
          <w:szCs w:val="32"/>
          <w:highlight w:val="none"/>
        </w:rPr>
      </w:pPr>
    </w:p>
    <w:p w14:paraId="307BF343">
      <w:pPr>
        <w:pStyle w:val="16"/>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4AFD15D9">
      <w:pPr>
        <w:spacing w:line="480" w:lineRule="exact"/>
        <w:ind w:firstLine="482"/>
        <w:rPr>
          <w:rFonts w:ascii="宋体" w:hAnsi="宋体" w:cs="宋体"/>
          <w:i/>
          <w:sz w:val="24"/>
          <w:szCs w:val="21"/>
          <w:u w:val="single"/>
        </w:rPr>
      </w:pPr>
      <w:r>
        <w:rPr>
          <w:rFonts w:hint="eastAsia" w:ascii="宋体" w:hAnsi="宋体" w:cs="宋体"/>
          <w:i/>
          <w:sz w:val="24"/>
          <w:szCs w:val="21"/>
          <w:u w:val="single"/>
        </w:rPr>
        <w:t>一、法人或者其他组织的营业执照等证明文件，自然人的身份证明</w:t>
      </w:r>
    </w:p>
    <w:p w14:paraId="6A3BF062">
      <w:pPr>
        <w:spacing w:line="480" w:lineRule="exact"/>
        <w:ind w:firstLine="482"/>
        <w:rPr>
          <w:rFonts w:ascii="宋体" w:hAnsi="宋体" w:cs="宋体"/>
          <w:i/>
          <w:sz w:val="24"/>
          <w:szCs w:val="21"/>
          <w:u w:val="single"/>
        </w:rPr>
      </w:pPr>
      <w:r>
        <w:rPr>
          <w:rFonts w:hint="eastAsia" w:ascii="宋体" w:hAnsi="宋体" w:cs="宋体"/>
          <w:i/>
          <w:sz w:val="24"/>
          <w:szCs w:val="21"/>
          <w:u w:val="single"/>
        </w:rPr>
        <w:t>二、上一年度的财务状况报表（至少提供资产负债表、利润表、现金流量表，磋商供应商成立不满一年无需提供）</w:t>
      </w:r>
    </w:p>
    <w:p w14:paraId="1881D58B">
      <w:pPr>
        <w:spacing w:line="480" w:lineRule="exact"/>
        <w:ind w:firstLine="482"/>
        <w:rPr>
          <w:rFonts w:ascii="宋体" w:hAnsi="宋体" w:cs="宋体"/>
          <w:i/>
          <w:sz w:val="24"/>
          <w:szCs w:val="21"/>
          <w:u w:val="single"/>
        </w:rPr>
      </w:pPr>
      <w:r>
        <w:rPr>
          <w:rFonts w:hint="eastAsia" w:ascii="宋体" w:hAnsi="宋体" w:cs="宋体"/>
          <w:i/>
          <w:sz w:val="24"/>
          <w:szCs w:val="21"/>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7E9E53A">
      <w:pPr>
        <w:spacing w:line="480" w:lineRule="exact"/>
        <w:ind w:firstLine="482"/>
        <w:rPr>
          <w:rFonts w:ascii="宋体" w:hAnsi="宋体" w:cs="宋体"/>
          <w:i/>
          <w:sz w:val="24"/>
          <w:szCs w:val="21"/>
          <w:u w:val="single"/>
        </w:rPr>
      </w:pPr>
      <w:r>
        <w:rPr>
          <w:rFonts w:hint="eastAsia" w:ascii="宋体" w:hAnsi="宋体" w:cs="宋体"/>
          <w:i/>
          <w:sz w:val="24"/>
          <w:szCs w:val="21"/>
          <w:u w:val="single"/>
        </w:rPr>
        <w:t>四、具备履行合同所必需的设备和专业技术能力的书面声明</w:t>
      </w:r>
    </w:p>
    <w:p w14:paraId="730BB098">
      <w:pPr>
        <w:spacing w:line="480" w:lineRule="exact"/>
        <w:ind w:firstLine="482"/>
        <w:rPr>
          <w:rFonts w:ascii="宋体" w:hAnsi="宋体" w:cs="宋体"/>
          <w:i/>
          <w:sz w:val="24"/>
          <w:szCs w:val="21"/>
          <w:u w:val="single"/>
        </w:rPr>
      </w:pPr>
      <w:r>
        <w:rPr>
          <w:rFonts w:hint="eastAsia" w:ascii="宋体" w:hAnsi="宋体" w:cs="宋体"/>
          <w:i/>
          <w:sz w:val="24"/>
          <w:szCs w:val="21"/>
          <w:u w:val="single"/>
        </w:rPr>
        <w:t>五、参加政府采购活动前 3 年内在经营活动中没有重大违法记录的书面声明</w:t>
      </w:r>
    </w:p>
    <w:p w14:paraId="22829ED9">
      <w:pPr>
        <w:spacing w:line="480" w:lineRule="exact"/>
        <w:ind w:firstLine="482"/>
        <w:rPr>
          <w:rFonts w:ascii="宋体" w:hAnsi="宋体" w:cs="宋体"/>
          <w:i/>
          <w:sz w:val="24"/>
          <w:szCs w:val="21"/>
          <w:u w:val="single"/>
        </w:rPr>
      </w:pPr>
      <w:r>
        <w:rPr>
          <w:rFonts w:hint="eastAsia" w:ascii="宋体" w:hAnsi="宋体" w:cs="宋体"/>
          <w:i/>
          <w:sz w:val="24"/>
          <w:szCs w:val="21"/>
          <w:u w:val="single"/>
        </w:rPr>
        <w:t>六、特定资格要求的证明文件</w:t>
      </w:r>
      <w:r>
        <w:rPr>
          <w:rFonts w:hint="eastAsia" w:ascii="宋体" w:hAnsi="宋体" w:cs="宋体"/>
          <w:i/>
          <w:u w:val="single"/>
        </w:rPr>
        <w:t>（如果本项目设置特定资格要求，则需要提供）</w:t>
      </w:r>
    </w:p>
    <w:p w14:paraId="0814A667">
      <w:pPr>
        <w:spacing w:line="480" w:lineRule="exact"/>
        <w:ind w:firstLine="482"/>
        <w:rPr>
          <w:rFonts w:ascii="宋体" w:hAnsi="宋体" w:cs="宋体"/>
          <w:i/>
          <w:sz w:val="24"/>
          <w:szCs w:val="21"/>
          <w:u w:val="single"/>
        </w:rPr>
      </w:pPr>
      <w:r>
        <w:rPr>
          <w:rFonts w:hint="eastAsia" w:ascii="宋体" w:hAnsi="宋体" w:cs="宋体"/>
          <w:i/>
          <w:sz w:val="24"/>
          <w:szCs w:val="21"/>
          <w:u w:val="single"/>
        </w:rPr>
        <w:t>七、法人授权书</w:t>
      </w:r>
    </w:p>
    <w:p w14:paraId="1B408068">
      <w:pPr>
        <w:spacing w:line="480" w:lineRule="exact"/>
        <w:ind w:firstLine="482"/>
        <w:rPr>
          <w:rFonts w:ascii="宋体" w:hAnsi="宋体" w:cs="宋体"/>
          <w:i/>
          <w:sz w:val="24"/>
          <w:szCs w:val="21"/>
          <w:u w:val="single"/>
        </w:rPr>
      </w:pPr>
      <w:r>
        <w:rPr>
          <w:rFonts w:hint="eastAsia" w:ascii="宋体" w:hAnsi="宋体" w:cs="宋体"/>
          <w:i/>
          <w:sz w:val="24"/>
          <w:szCs w:val="21"/>
          <w:u w:val="single"/>
        </w:rPr>
        <w:t>八、磋商响应函</w:t>
      </w:r>
    </w:p>
    <w:p w14:paraId="148AD819">
      <w:pPr>
        <w:spacing w:line="480" w:lineRule="exact"/>
        <w:ind w:firstLine="482"/>
        <w:rPr>
          <w:rFonts w:ascii="宋体" w:hAnsi="宋体" w:cs="宋体"/>
          <w:sz w:val="24"/>
          <w:szCs w:val="21"/>
        </w:rPr>
      </w:pPr>
      <w:r>
        <w:rPr>
          <w:rFonts w:hint="eastAsia" w:ascii="宋体" w:hAnsi="宋体" w:cs="宋体"/>
          <w:sz w:val="24"/>
          <w:szCs w:val="21"/>
        </w:rPr>
        <w:t>九、中小企业声明函</w:t>
      </w:r>
    </w:p>
    <w:p w14:paraId="2D90E10B">
      <w:pPr>
        <w:spacing w:line="480" w:lineRule="exact"/>
        <w:ind w:firstLine="482"/>
        <w:rPr>
          <w:rFonts w:ascii="宋体" w:hAnsi="宋体" w:cs="宋体"/>
          <w:sz w:val="24"/>
          <w:szCs w:val="21"/>
        </w:rPr>
      </w:pPr>
      <w:r>
        <w:rPr>
          <w:rFonts w:hint="eastAsia" w:ascii="宋体" w:hAnsi="宋体" w:cs="宋体"/>
          <w:sz w:val="24"/>
          <w:szCs w:val="21"/>
        </w:rPr>
        <w:t>十、残疾人福利性单位声明函</w:t>
      </w:r>
    </w:p>
    <w:p w14:paraId="2A16320C">
      <w:pPr>
        <w:spacing w:line="480" w:lineRule="exact"/>
        <w:ind w:firstLine="482"/>
        <w:rPr>
          <w:rFonts w:ascii="宋体" w:hAnsi="宋体" w:cs="宋体"/>
          <w:sz w:val="24"/>
          <w:szCs w:val="21"/>
        </w:rPr>
      </w:pPr>
      <w:r>
        <w:rPr>
          <w:rFonts w:hint="eastAsia" w:ascii="宋体" w:hAnsi="宋体" w:cs="宋体"/>
          <w:sz w:val="24"/>
          <w:szCs w:val="21"/>
        </w:rPr>
        <w:t>十一、分项报价表</w:t>
      </w:r>
    </w:p>
    <w:p w14:paraId="308AC20A">
      <w:pPr>
        <w:pStyle w:val="28"/>
        <w:widowControl w:val="0"/>
        <w:spacing w:before="0" w:beforeAutospacing="0" w:after="0" w:afterAutospacing="0" w:line="480" w:lineRule="exact"/>
        <w:ind w:firstLine="482"/>
        <w:jc w:val="both"/>
        <w:rPr>
          <w:iCs/>
        </w:rPr>
      </w:pPr>
      <w:r>
        <w:rPr>
          <w:rFonts w:hint="eastAsia"/>
          <w:iCs/>
        </w:rPr>
        <w:t>十二、技术要求响应及偏离表</w:t>
      </w:r>
    </w:p>
    <w:p w14:paraId="5642BEA4">
      <w:pPr>
        <w:pStyle w:val="28"/>
        <w:widowControl w:val="0"/>
        <w:spacing w:before="0" w:beforeAutospacing="0" w:after="0" w:afterAutospacing="0" w:line="480" w:lineRule="exact"/>
        <w:ind w:firstLine="482"/>
        <w:jc w:val="both"/>
        <w:rPr>
          <w:iCs/>
        </w:rPr>
      </w:pPr>
      <w:r>
        <w:rPr>
          <w:rFonts w:hint="eastAsia"/>
          <w:iCs/>
        </w:rPr>
        <w:t>十三、商务要求响应及偏离表</w:t>
      </w:r>
    </w:p>
    <w:p w14:paraId="59987E95">
      <w:pPr>
        <w:pStyle w:val="28"/>
        <w:widowControl w:val="0"/>
        <w:spacing w:before="0" w:beforeAutospacing="0" w:after="0" w:afterAutospacing="0" w:line="480" w:lineRule="exact"/>
        <w:ind w:firstLine="482"/>
        <w:jc w:val="both"/>
        <w:rPr>
          <w:iCs/>
        </w:rPr>
      </w:pPr>
      <w:r>
        <w:rPr>
          <w:rFonts w:hint="eastAsia"/>
          <w:iCs/>
        </w:rPr>
        <w:t>十四、磋商报价表</w:t>
      </w:r>
    </w:p>
    <w:p w14:paraId="4A3CEE46">
      <w:pPr>
        <w:pStyle w:val="28"/>
        <w:widowControl w:val="0"/>
        <w:spacing w:before="0" w:beforeAutospacing="0" w:after="0" w:afterAutospacing="0" w:line="480" w:lineRule="exact"/>
        <w:ind w:firstLine="482"/>
        <w:jc w:val="both"/>
        <w:rPr>
          <w:iCs/>
        </w:rPr>
      </w:pPr>
      <w:r>
        <w:rPr>
          <w:rFonts w:hint="eastAsia"/>
        </w:rPr>
        <w:t>十五、</w:t>
      </w:r>
      <w:r>
        <w:rPr>
          <w:rFonts w:hint="eastAsia"/>
          <w:iCs/>
        </w:rPr>
        <w:t>项目人员一览表</w:t>
      </w:r>
    </w:p>
    <w:p w14:paraId="1E8DCC99">
      <w:pPr>
        <w:pStyle w:val="28"/>
        <w:widowControl w:val="0"/>
        <w:spacing w:before="0" w:beforeAutospacing="0" w:after="0" w:afterAutospacing="0" w:line="480" w:lineRule="exact"/>
        <w:ind w:firstLine="482"/>
        <w:jc w:val="both"/>
        <w:rPr>
          <w:iCs/>
        </w:rPr>
      </w:pPr>
      <w:r>
        <w:rPr>
          <w:rFonts w:hint="eastAsia"/>
          <w:iCs/>
        </w:rPr>
        <w:t>十六、实施方案等</w:t>
      </w:r>
    </w:p>
    <w:p w14:paraId="40EEC2E7">
      <w:pPr>
        <w:pStyle w:val="28"/>
        <w:widowControl w:val="0"/>
        <w:snapToGrid w:val="0"/>
        <w:spacing w:before="0" w:beforeAutospacing="0" w:after="0" w:afterAutospacing="0" w:line="480" w:lineRule="exact"/>
        <w:ind w:firstLine="482"/>
        <w:jc w:val="both"/>
      </w:pPr>
      <w:r>
        <w:rPr>
          <w:rFonts w:hint="eastAsia"/>
        </w:rPr>
        <w:t>十七、盐城市亭湖区政府采购事前信用承诺书</w:t>
      </w:r>
    </w:p>
    <w:p w14:paraId="22B7F009">
      <w:pPr>
        <w:pStyle w:val="28"/>
        <w:widowControl w:val="0"/>
        <w:spacing w:before="0" w:beforeAutospacing="0" w:after="0" w:afterAutospacing="0" w:line="480" w:lineRule="exact"/>
        <w:ind w:firstLine="482"/>
        <w:jc w:val="both"/>
      </w:pPr>
      <w:r>
        <w:rPr>
          <w:rFonts w:hint="eastAsia"/>
        </w:rPr>
        <w:t>十八、评标办法中要求提供的相关证明材料等</w:t>
      </w:r>
    </w:p>
    <w:p w14:paraId="7D9E1026">
      <w:pPr>
        <w:pStyle w:val="16"/>
        <w:spacing w:beforeAutospacing="0" w:afterAutospacing="0" w:line="0" w:lineRule="atLeast"/>
        <w:ind w:firstLine="480"/>
        <w:jc w:val="both"/>
        <w:rPr>
          <w:color w:val="auto"/>
          <w:sz w:val="24"/>
          <w:szCs w:val="24"/>
          <w:highlight w:val="none"/>
        </w:rPr>
      </w:pPr>
    </w:p>
    <w:p w14:paraId="1201F0CE">
      <w:pPr>
        <w:pStyle w:val="16"/>
        <w:spacing w:beforeAutospacing="0" w:afterAutospacing="0" w:line="0" w:lineRule="atLeast"/>
        <w:ind w:firstLine="480"/>
        <w:jc w:val="both"/>
        <w:rPr>
          <w:color w:val="auto"/>
          <w:sz w:val="24"/>
          <w:szCs w:val="24"/>
          <w:highlight w:val="none"/>
        </w:rPr>
      </w:pPr>
      <w:r>
        <w:rPr>
          <w:color w:val="auto"/>
          <w:sz w:val="24"/>
          <w:szCs w:val="24"/>
          <w:highlight w:val="none"/>
        </w:rPr>
        <w:t> </w:t>
      </w:r>
    </w:p>
    <w:p w14:paraId="4F24DF3A">
      <w:pPr>
        <w:pStyle w:val="16"/>
        <w:spacing w:beforeAutospacing="0" w:afterAutospacing="0" w:line="0" w:lineRule="atLeast"/>
        <w:ind w:firstLine="480"/>
        <w:jc w:val="both"/>
        <w:rPr>
          <w:color w:val="auto"/>
          <w:sz w:val="24"/>
          <w:szCs w:val="24"/>
          <w:highlight w:val="none"/>
        </w:rPr>
      </w:pPr>
      <w:r>
        <w:rPr>
          <w:color w:val="auto"/>
          <w:sz w:val="24"/>
          <w:szCs w:val="24"/>
          <w:highlight w:val="none"/>
        </w:rPr>
        <w:t> </w:t>
      </w:r>
    </w:p>
    <w:p w14:paraId="199B0095">
      <w:pPr>
        <w:pStyle w:val="16"/>
        <w:spacing w:beforeAutospacing="0" w:afterAutospacing="0" w:line="0" w:lineRule="atLeast"/>
        <w:ind w:firstLine="480"/>
        <w:jc w:val="both"/>
        <w:rPr>
          <w:color w:val="auto"/>
          <w:sz w:val="24"/>
          <w:szCs w:val="24"/>
          <w:highlight w:val="none"/>
        </w:rPr>
      </w:pPr>
      <w:r>
        <w:rPr>
          <w:color w:val="auto"/>
          <w:sz w:val="24"/>
          <w:szCs w:val="24"/>
          <w:highlight w:val="none"/>
        </w:rPr>
        <w:t> </w:t>
      </w:r>
    </w:p>
    <w:p w14:paraId="0F52F154">
      <w:pPr>
        <w:pStyle w:val="16"/>
        <w:spacing w:beforeAutospacing="0" w:afterAutospacing="0" w:line="0" w:lineRule="atLeast"/>
        <w:ind w:firstLine="480"/>
        <w:jc w:val="both"/>
        <w:rPr>
          <w:color w:val="auto"/>
          <w:sz w:val="24"/>
          <w:szCs w:val="24"/>
          <w:highlight w:val="none"/>
        </w:rPr>
      </w:pPr>
      <w:r>
        <w:rPr>
          <w:color w:val="auto"/>
          <w:sz w:val="24"/>
          <w:szCs w:val="24"/>
          <w:highlight w:val="none"/>
        </w:rPr>
        <w:t> </w:t>
      </w:r>
    </w:p>
    <w:p w14:paraId="41501310">
      <w:pPr>
        <w:pStyle w:val="16"/>
        <w:spacing w:beforeAutospacing="0" w:afterAutospacing="0" w:line="0" w:lineRule="atLeast"/>
        <w:ind w:firstLine="480"/>
        <w:jc w:val="both"/>
        <w:rPr>
          <w:color w:val="auto"/>
          <w:sz w:val="24"/>
          <w:szCs w:val="24"/>
          <w:highlight w:val="none"/>
        </w:rPr>
      </w:pPr>
    </w:p>
    <w:p w14:paraId="594B633D">
      <w:pPr>
        <w:pStyle w:val="16"/>
        <w:spacing w:beforeAutospacing="0" w:afterAutospacing="0" w:line="0" w:lineRule="atLeast"/>
        <w:ind w:firstLine="480"/>
        <w:jc w:val="both"/>
        <w:rPr>
          <w:color w:val="auto"/>
          <w:sz w:val="24"/>
          <w:szCs w:val="24"/>
          <w:highlight w:val="none"/>
        </w:rPr>
      </w:pPr>
    </w:p>
    <w:p w14:paraId="46BD6355">
      <w:pPr>
        <w:pStyle w:val="16"/>
        <w:spacing w:beforeAutospacing="0" w:afterAutospacing="0" w:line="0" w:lineRule="atLeast"/>
        <w:ind w:firstLine="480"/>
        <w:jc w:val="both"/>
        <w:rPr>
          <w:color w:val="auto"/>
          <w:sz w:val="24"/>
          <w:szCs w:val="24"/>
          <w:highlight w:val="none"/>
        </w:rPr>
      </w:pPr>
    </w:p>
    <w:p w14:paraId="79A1F378">
      <w:pPr>
        <w:pStyle w:val="16"/>
        <w:spacing w:beforeAutospacing="0" w:afterAutospacing="0" w:line="0" w:lineRule="atLeast"/>
        <w:ind w:firstLine="480"/>
        <w:jc w:val="both"/>
        <w:rPr>
          <w:color w:val="auto"/>
          <w:sz w:val="24"/>
          <w:szCs w:val="24"/>
          <w:highlight w:val="none"/>
        </w:rPr>
      </w:pPr>
    </w:p>
    <w:p w14:paraId="43E1453A">
      <w:pPr>
        <w:pStyle w:val="16"/>
        <w:spacing w:beforeAutospacing="0" w:afterAutospacing="0" w:line="0" w:lineRule="atLeast"/>
        <w:jc w:val="both"/>
        <w:rPr>
          <w:color w:val="auto"/>
          <w:sz w:val="24"/>
          <w:szCs w:val="24"/>
          <w:highlight w:val="none"/>
        </w:rPr>
      </w:pPr>
    </w:p>
    <w:p w14:paraId="34DFD3BF">
      <w:pPr>
        <w:pStyle w:val="16"/>
        <w:spacing w:beforeAutospacing="0" w:afterAutospacing="0"/>
        <w:jc w:val="both"/>
        <w:rPr>
          <w:color w:val="auto"/>
          <w:sz w:val="24"/>
          <w:szCs w:val="24"/>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6"/>
        <w:spacing w:beforeAutospacing="0" w:afterAutospacing="0" w:line="0" w:lineRule="atLeast"/>
        <w:ind w:firstLine="480"/>
        <w:jc w:val="both"/>
        <w:rPr>
          <w:color w:val="auto"/>
          <w:sz w:val="24"/>
          <w:szCs w:val="24"/>
          <w:highlight w:val="none"/>
        </w:rPr>
      </w:pPr>
      <w:r>
        <w:rPr>
          <w:color w:val="auto"/>
          <w:sz w:val="24"/>
          <w:szCs w:val="24"/>
          <w:highlight w:val="none"/>
        </w:rPr>
        <w:t> </w:t>
      </w:r>
    </w:p>
    <w:p w14:paraId="4902ABCC">
      <w:pPr>
        <w:pStyle w:val="16"/>
        <w:spacing w:beforeAutospacing="0" w:afterAutospacing="0"/>
        <w:jc w:val="both"/>
        <w:rPr>
          <w:rFonts w:hint="eastAsia" w:ascii="黑体" w:hAnsi="宋体" w:eastAsia="黑体" w:cs="黑体"/>
          <w:i/>
          <w:color w:val="auto"/>
          <w:sz w:val="32"/>
          <w:szCs w:val="32"/>
          <w:highlight w:val="none"/>
          <w:u w:val="single"/>
        </w:rPr>
      </w:pPr>
    </w:p>
    <w:p w14:paraId="74E2D69E">
      <w:pPr>
        <w:pStyle w:val="16"/>
        <w:spacing w:beforeAutospacing="0" w:afterAutospacing="0"/>
        <w:jc w:val="both"/>
        <w:rPr>
          <w:rFonts w:hint="eastAsia" w:eastAsia="黑体"/>
          <w:color w:val="auto"/>
          <w:sz w:val="24"/>
          <w:szCs w:val="24"/>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54BB47BD">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1EAAA377">
      <w:pPr>
        <w:pStyle w:val="16"/>
        <w:spacing w:beforeAutospacing="0" w:afterAutospacing="0" w:line="0" w:lineRule="atLeast"/>
        <w:ind w:firstLine="480"/>
        <w:jc w:val="both"/>
        <w:rPr>
          <w:rFonts w:hint="eastAsia" w:eastAsia="宋体"/>
          <w:color w:val="auto"/>
          <w:sz w:val="24"/>
          <w:szCs w:val="24"/>
          <w:highlight w:val="none"/>
          <w:lang w:eastAsia="zh-CN"/>
        </w:rPr>
      </w:pPr>
    </w:p>
    <w:p w14:paraId="5C7918CD">
      <w:pPr>
        <w:pStyle w:val="16"/>
        <w:spacing w:beforeAutospacing="0" w:afterAutospacing="0"/>
        <w:jc w:val="both"/>
        <w:rPr>
          <w:color w:val="auto"/>
          <w:sz w:val="24"/>
          <w:szCs w:val="24"/>
          <w:highlight w:val="none"/>
        </w:rPr>
      </w:pPr>
      <w:r>
        <w:rPr>
          <w:color w:val="auto"/>
          <w:sz w:val="24"/>
          <w:szCs w:val="24"/>
          <w:highlight w:val="none"/>
        </w:rPr>
        <w:t> </w:t>
      </w:r>
    </w:p>
    <w:p w14:paraId="510EC5F4">
      <w:pPr>
        <w:pStyle w:val="16"/>
        <w:spacing w:beforeAutospacing="0" w:afterAutospacing="0"/>
        <w:jc w:val="both"/>
        <w:rPr>
          <w:color w:val="auto"/>
          <w:sz w:val="24"/>
          <w:szCs w:val="24"/>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70657D34">
      <w:pPr>
        <w:spacing w:line="460" w:lineRule="exact"/>
        <w:ind w:firstLine="492"/>
        <w:rPr>
          <w:rFonts w:ascii="宋体" w:hAnsi="宋体"/>
          <w:bCs/>
          <w:sz w:val="24"/>
        </w:rPr>
      </w:pPr>
      <w:r>
        <w:rPr>
          <w:rFonts w:hint="eastAsia" w:ascii="宋体" w:hAnsi="宋体"/>
          <w:bCs/>
          <w:sz w:val="24"/>
        </w:rPr>
        <w:t>我公司郑重声明：我公司具备履行本项采购合同所必需的服务和专业技术能力，为履行本项采购合同我公司具备如下主要服务和主要专业技术能力：</w:t>
      </w:r>
    </w:p>
    <w:p w14:paraId="00812171">
      <w:pPr>
        <w:spacing w:line="460" w:lineRule="exact"/>
        <w:ind w:firstLine="492"/>
        <w:rPr>
          <w:rFonts w:ascii="宋体" w:hAnsi="宋体"/>
          <w:bCs/>
          <w:sz w:val="24"/>
        </w:rPr>
      </w:pPr>
      <w:r>
        <w:rPr>
          <w:rFonts w:hint="eastAsia" w:ascii="宋体" w:hAnsi="宋体"/>
          <w:bCs/>
          <w:sz w:val="24"/>
        </w:rPr>
        <w:t>主要服务有：</w:t>
      </w:r>
      <w:r>
        <w:rPr>
          <w:rFonts w:hint="eastAsia" w:ascii="宋体" w:hAnsi="宋体"/>
          <w:bCs/>
          <w:sz w:val="24"/>
          <w:u w:val="single"/>
        </w:rPr>
        <w:t xml:space="preserve">                </w:t>
      </w:r>
      <w:r>
        <w:rPr>
          <w:rFonts w:hint="eastAsia" w:ascii="宋体" w:hAnsi="宋体"/>
          <w:bCs/>
          <w:sz w:val="24"/>
        </w:rPr>
        <w:t>。</w:t>
      </w:r>
    </w:p>
    <w:p w14:paraId="74EC8EBD">
      <w:pPr>
        <w:spacing w:line="460" w:lineRule="exact"/>
        <w:ind w:firstLine="492"/>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322CECB0">
      <w:pPr>
        <w:spacing w:line="460" w:lineRule="exact"/>
        <w:ind w:firstLine="492"/>
        <w:rPr>
          <w:rFonts w:ascii="宋体" w:hAnsi="宋体"/>
          <w:bCs/>
          <w:sz w:val="24"/>
        </w:rPr>
      </w:pPr>
    </w:p>
    <w:p w14:paraId="0080DCE8">
      <w:pPr>
        <w:spacing w:line="460" w:lineRule="exact"/>
        <w:ind w:firstLine="492"/>
        <w:rPr>
          <w:rFonts w:ascii="宋体" w:hAnsi="宋体"/>
          <w:bCs/>
          <w:sz w:val="24"/>
        </w:rPr>
      </w:pPr>
    </w:p>
    <w:p w14:paraId="6AA74FE6">
      <w:pPr>
        <w:spacing w:line="460" w:lineRule="exact"/>
        <w:ind w:firstLine="492"/>
        <w:rPr>
          <w:rFonts w:ascii="宋体" w:hAnsi="宋体"/>
          <w:bCs/>
          <w:sz w:val="24"/>
        </w:rPr>
      </w:pPr>
    </w:p>
    <w:p w14:paraId="2FB11D6C">
      <w:pPr>
        <w:spacing w:line="480" w:lineRule="auto"/>
        <w:rPr>
          <w:rFonts w:ascii="宋体" w:hAnsi="宋体"/>
          <w:bCs/>
          <w:sz w:val="24"/>
        </w:rPr>
      </w:pPr>
      <w:r>
        <w:rPr>
          <w:rFonts w:hint="eastAsia" w:ascii="宋体" w:hAnsi="宋体"/>
          <w:bCs/>
          <w:sz w:val="24"/>
        </w:rPr>
        <w:t xml:space="preserve">                                      供应商名称（公章）：</w:t>
      </w:r>
      <w:r>
        <w:rPr>
          <w:rFonts w:hint="eastAsia" w:ascii="宋体" w:hAnsi="宋体" w:cs="宋体"/>
          <w:b/>
          <w:i/>
          <w:iCs/>
          <w:sz w:val="24"/>
          <w:u w:val="single"/>
        </w:rPr>
        <w:t>（加盖CA电子公章）</w:t>
      </w:r>
    </w:p>
    <w:p w14:paraId="38C288A2">
      <w:pPr>
        <w:spacing w:line="460" w:lineRule="exact"/>
        <w:rPr>
          <w:rFonts w:ascii="宋体" w:hAnsi="宋体"/>
          <w:bCs/>
          <w:sz w:val="24"/>
        </w:rPr>
      </w:pPr>
    </w:p>
    <w:p w14:paraId="3ADB459A">
      <w:pPr>
        <w:pStyle w:val="16"/>
        <w:spacing w:beforeAutospacing="0" w:afterAutospacing="0"/>
        <w:jc w:val="both"/>
        <w:rPr>
          <w:rFonts w:hint="eastAsia" w:ascii="黑体" w:hAnsi="宋体" w:eastAsia="黑体" w:cs="黑体"/>
          <w:i/>
          <w:color w:val="auto"/>
          <w:sz w:val="32"/>
          <w:szCs w:val="32"/>
          <w:highlight w:val="none"/>
          <w:u w:val="single"/>
          <w:lang w:val="en-US" w:eastAsia="zh-CN"/>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6EF45897">
      <w:pPr>
        <w:pStyle w:val="16"/>
        <w:spacing w:beforeAutospacing="0" w:afterAutospacing="0"/>
        <w:jc w:val="both"/>
        <w:rPr>
          <w:rFonts w:hint="eastAsia" w:ascii="黑体" w:hAnsi="宋体" w:eastAsia="黑体" w:cs="黑体"/>
          <w:i/>
          <w:color w:val="auto"/>
          <w:sz w:val="32"/>
          <w:szCs w:val="32"/>
          <w:highlight w:val="none"/>
          <w:u w:val="single"/>
          <w:lang w:val="en-US" w:eastAsia="zh-CN"/>
        </w:rPr>
      </w:pPr>
    </w:p>
    <w:p w14:paraId="6611C488">
      <w:pPr>
        <w:pStyle w:val="16"/>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6"/>
        <w:spacing w:beforeAutospacing="0" w:afterAutospacing="0"/>
        <w:jc w:val="both"/>
        <w:rPr>
          <w:color w:val="auto"/>
          <w:sz w:val="24"/>
          <w:szCs w:val="24"/>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color w:val="auto"/>
          <w:sz w:val="24"/>
          <w:szCs w:val="24"/>
          <w:highlight w:val="none"/>
        </w:rPr>
      </w:pPr>
      <w:r>
        <w:rPr>
          <w:rFonts w:hint="eastAsia" w:ascii="宋体" w:hAnsi="宋体" w:eastAsia="宋体" w:cs="宋体"/>
          <w:color w:val="auto"/>
          <w:sz w:val="24"/>
          <w:szCs w:val="24"/>
          <w:highlight w:val="none"/>
        </w:rPr>
        <w:t>提供提交响应文件截止时间前一年内至少一个月依法缴纳税收及缴纳社会保障资金的证明材料。供应商依法享受缓缴、免缴税收、社会保障资金的提供证明材料。</w:t>
      </w:r>
    </w:p>
    <w:p w14:paraId="32AE7CD6">
      <w:pPr>
        <w:pStyle w:val="16"/>
        <w:spacing w:beforeAutospacing="0" w:afterAutospacing="0" w:line="0" w:lineRule="atLeast"/>
        <w:jc w:val="both"/>
        <w:rPr>
          <w:color w:val="auto"/>
          <w:sz w:val="24"/>
          <w:szCs w:val="24"/>
          <w:highlight w:val="none"/>
        </w:rPr>
      </w:pPr>
      <w:r>
        <w:rPr>
          <w:rFonts w:hint="eastAsia" w:ascii="宋体" w:hAnsi="宋体" w:eastAsia="宋体" w:cs="宋体"/>
          <w:color w:val="auto"/>
          <w:sz w:val="24"/>
          <w:szCs w:val="24"/>
          <w:highlight w:val="none"/>
        </w:rPr>
        <w:t xml:space="preserve">                                     </w:t>
      </w:r>
    </w:p>
    <w:p w14:paraId="19B3CD8B">
      <w:pPr>
        <w:pStyle w:val="16"/>
        <w:spacing w:beforeAutospacing="0" w:afterAutospacing="0"/>
        <w:jc w:val="both"/>
        <w:rPr>
          <w:color w:val="auto"/>
          <w:sz w:val="24"/>
          <w:szCs w:val="24"/>
          <w:highlight w:val="none"/>
        </w:rPr>
      </w:pPr>
      <w:r>
        <w:rPr>
          <w:color w:val="auto"/>
          <w:sz w:val="24"/>
          <w:szCs w:val="24"/>
          <w:highlight w:val="none"/>
        </w:rPr>
        <w:t> </w:t>
      </w:r>
    </w:p>
    <w:p w14:paraId="053F21A1">
      <w:pPr>
        <w:pStyle w:val="16"/>
        <w:spacing w:beforeAutospacing="0" w:afterAutospacing="0"/>
        <w:jc w:val="both"/>
        <w:rPr>
          <w:rFonts w:hint="eastAsia" w:ascii="黑体" w:hAnsi="宋体" w:eastAsia="黑体" w:cs="黑体"/>
          <w:i/>
          <w:color w:val="auto"/>
          <w:sz w:val="32"/>
          <w:szCs w:val="32"/>
          <w:highlight w:val="none"/>
          <w:u w:val="single"/>
        </w:rPr>
      </w:pPr>
    </w:p>
    <w:p w14:paraId="5AFDB5F4">
      <w:pPr>
        <w:pStyle w:val="16"/>
        <w:spacing w:beforeAutospacing="0" w:afterAutospacing="0"/>
        <w:jc w:val="both"/>
        <w:rPr>
          <w:rFonts w:hint="eastAsia" w:ascii="黑体" w:hAnsi="宋体" w:eastAsia="黑体" w:cs="黑体"/>
          <w:i/>
          <w:color w:val="auto"/>
          <w:sz w:val="32"/>
          <w:szCs w:val="32"/>
          <w:highlight w:val="none"/>
          <w:u w:val="single"/>
        </w:rPr>
      </w:pPr>
    </w:p>
    <w:p w14:paraId="3623E3A4">
      <w:pPr>
        <w:pStyle w:val="16"/>
        <w:spacing w:beforeAutospacing="0" w:afterAutospacing="0"/>
        <w:jc w:val="both"/>
        <w:rPr>
          <w:rFonts w:hint="eastAsia" w:ascii="黑体" w:hAnsi="宋体" w:eastAsia="黑体" w:cs="黑体"/>
          <w:i/>
          <w:color w:val="auto"/>
          <w:sz w:val="32"/>
          <w:szCs w:val="32"/>
          <w:highlight w:val="none"/>
          <w:u w:val="single"/>
        </w:rPr>
      </w:pPr>
    </w:p>
    <w:p w14:paraId="01C813FE">
      <w:pPr>
        <w:pStyle w:val="16"/>
        <w:spacing w:beforeAutospacing="0" w:afterAutospacing="0"/>
        <w:jc w:val="both"/>
        <w:rPr>
          <w:rFonts w:hint="eastAsia" w:ascii="宋体" w:hAnsi="宋体" w:eastAsia="宋体" w:cs="宋体"/>
          <w:b/>
          <w:bCs/>
          <w:color w:val="auto"/>
          <w:sz w:val="36"/>
          <w:szCs w:val="36"/>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声  明</w:t>
      </w:r>
    </w:p>
    <w:p w14:paraId="594187FD">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5416B4C0">
      <w:pPr>
        <w:spacing w:line="460" w:lineRule="exact"/>
        <w:jc w:val="center"/>
        <w:rPr>
          <w:rFonts w:ascii="宋体" w:hAnsi="宋体"/>
          <w:bCs/>
          <w:sz w:val="24"/>
        </w:rPr>
      </w:pPr>
      <w:r>
        <w:rPr>
          <w:rFonts w:hint="eastAsia" w:ascii="宋体" w:hAnsi="宋体" w:cs="宋体"/>
          <w:bCs/>
          <w:sz w:val="24"/>
        </w:rPr>
        <w:t>供应商名称（公章）：</w:t>
      </w:r>
      <w:r>
        <w:rPr>
          <w:rFonts w:hint="eastAsia" w:ascii="宋体" w:hAnsi="宋体" w:cs="宋体"/>
          <w:b/>
          <w:i/>
          <w:iCs/>
          <w:sz w:val="24"/>
          <w:u w:val="single"/>
        </w:rPr>
        <w:t>（加盖CA电子公章）</w:t>
      </w:r>
    </w:p>
    <w:p w14:paraId="06211773">
      <w:pPr>
        <w:spacing w:line="460" w:lineRule="exact"/>
        <w:rPr>
          <w:rFonts w:ascii="宋体" w:hAnsi="宋体"/>
          <w:bCs/>
          <w:sz w:val="24"/>
        </w:rPr>
      </w:pPr>
      <w:r>
        <w:rPr>
          <w:rFonts w:hint="eastAsia" w:ascii="宋体" w:hAnsi="宋体"/>
          <w:bCs/>
          <w:sz w:val="24"/>
        </w:rPr>
        <w:t xml:space="preserve">                                      授权代表签字：</w:t>
      </w:r>
    </w:p>
    <w:p w14:paraId="3E8D4742">
      <w:pPr>
        <w:spacing w:line="460" w:lineRule="exact"/>
        <w:jc w:val="center"/>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027D77E9">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p>
    <w:p w14:paraId="57EC01F9">
      <w:pPr>
        <w:pStyle w:val="16"/>
        <w:spacing w:beforeAutospacing="0" w:afterAutospacing="0"/>
        <w:jc w:val="both"/>
        <w:rPr>
          <w:color w:val="auto"/>
          <w:sz w:val="24"/>
          <w:szCs w:val="24"/>
          <w:highlight w:val="none"/>
        </w:rPr>
      </w:pPr>
      <w:r>
        <w:rPr>
          <w:color w:val="auto"/>
          <w:sz w:val="24"/>
          <w:szCs w:val="24"/>
          <w:highlight w:val="none"/>
        </w:rPr>
        <w:t> </w:t>
      </w:r>
    </w:p>
    <w:p w14:paraId="595399DB">
      <w:pPr>
        <w:pStyle w:val="16"/>
        <w:spacing w:beforeAutospacing="0" w:afterAutospacing="0"/>
        <w:jc w:val="both"/>
        <w:rPr>
          <w:rFonts w:hint="eastAsia" w:ascii="黑体" w:hAnsi="宋体" w:eastAsia="黑体" w:cs="黑体"/>
          <w:i/>
          <w:color w:val="auto"/>
          <w:sz w:val="32"/>
          <w:szCs w:val="32"/>
          <w:highlight w:val="none"/>
          <w:u w:val="single"/>
        </w:rPr>
      </w:pPr>
    </w:p>
    <w:p w14:paraId="3C90CF51">
      <w:pPr>
        <w:pStyle w:val="16"/>
        <w:spacing w:beforeAutospacing="0" w:afterAutospacing="0"/>
        <w:jc w:val="both"/>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六、特定资格要求的证明文件（如果本项目设置特定资格要求，则需要提供）</w:t>
      </w:r>
      <w:bookmarkStart w:id="175" w:name="_Toc120614284"/>
    </w:p>
    <w:p w14:paraId="50AD0CCD">
      <w:pPr>
        <w:pStyle w:val="16"/>
        <w:spacing w:beforeAutospacing="0" w:afterAutospacing="0"/>
        <w:jc w:val="center"/>
        <w:rPr>
          <w:rFonts w:ascii="黑体" w:hAnsi="宋体" w:eastAsia="黑体" w:cs="黑体"/>
          <w:i/>
          <w:color w:val="auto"/>
          <w:sz w:val="32"/>
          <w:szCs w:val="32"/>
          <w:highlight w:val="none"/>
          <w:u w:val="single"/>
        </w:rPr>
      </w:pPr>
    </w:p>
    <w:p w14:paraId="40086493">
      <w:pPr>
        <w:pStyle w:val="16"/>
        <w:spacing w:beforeAutospacing="0" w:afterAutospacing="0"/>
        <w:jc w:val="center"/>
        <w:rPr>
          <w:color w:val="auto"/>
          <w:sz w:val="24"/>
          <w:szCs w:val="24"/>
          <w:highlight w:val="none"/>
        </w:rPr>
      </w:pPr>
      <w:r>
        <w:rPr>
          <w:rFonts w:hint="eastAsia" w:ascii="黑体" w:hAnsi="宋体" w:eastAsia="黑体" w:cs="黑体"/>
          <w:i/>
          <w:color w:val="auto"/>
          <w:sz w:val="32"/>
          <w:szCs w:val="32"/>
          <w:highlight w:val="none"/>
          <w:u w:val="single"/>
        </w:rPr>
        <w:t>七、法人授权书</w:t>
      </w:r>
    </w:p>
    <w:p w14:paraId="52A92DE9">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JSZC-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5055107D">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3814829C">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p>
    <w:p w14:paraId="30431461">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                          </w:t>
      </w:r>
    </w:p>
    <w:p w14:paraId="052CBFD0">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授权单位名称：（加盖CA电子公章）</w:t>
      </w:r>
    </w:p>
    <w:p w14:paraId="396BFA9C">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p w14:paraId="69E34715">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                             </w:t>
      </w:r>
    </w:p>
    <w:p w14:paraId="6032F624">
      <w:pPr>
        <w:pStyle w:val="16"/>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bookmarkStart w:id="176" w:name="_Hlt26955070"/>
      <w:bookmarkStart w:id="177" w:name="_格式3__银行出具的资信证明"/>
      <w:bookmarkStart w:id="178" w:name="_Hlt26671380"/>
      <w:r>
        <w:rPr>
          <w:rFonts w:hint="eastAsia" w:ascii="宋体" w:hAnsi="宋体" w:eastAsia="宋体" w:cs="宋体"/>
          <w:color w:val="auto"/>
          <w:sz w:val="24"/>
          <w:szCs w:val="24"/>
          <w:highlight w:val="none"/>
        </w:rPr>
        <w:t xml:space="preserve">                                        </w:t>
      </w:r>
    </w:p>
    <w:p w14:paraId="20081A49">
      <w:pPr>
        <w:tabs>
          <w:tab w:val="left" w:pos="360"/>
        </w:tabs>
        <w:ind w:firstLine="480"/>
        <w:jc w:val="center"/>
        <w:rPr>
          <w:rFonts w:ascii="宋体" w:hAnsi="宋体" w:cs="宋体"/>
          <w:sz w:val="24"/>
        </w:rPr>
      </w:pPr>
    </w:p>
    <w:p w14:paraId="2DC9D5EC">
      <w:pPr>
        <w:tabs>
          <w:tab w:val="left" w:pos="360"/>
        </w:tabs>
        <w:ind w:firstLine="480"/>
        <w:jc w:val="center"/>
        <w:rPr>
          <w:rFonts w:hint="eastAsia" w:ascii="黑体" w:hAnsi="宋体" w:eastAsia="黑体" w:cs="黑体"/>
          <w:b/>
          <w:i/>
          <w:color w:val="auto"/>
          <w:sz w:val="32"/>
          <w:szCs w:val="32"/>
          <w:highlight w:val="none"/>
          <w:u w:val="single"/>
        </w:rPr>
      </w:pPr>
      <w:r>
        <w:rPr>
          <w:rFonts w:hint="eastAsia" w:ascii="宋体" w:hAnsi="宋体" w:cs="宋体"/>
          <w:sz w:val="24"/>
        </w:rPr>
        <w:t>法人和代理人身份证复印件粘贴处</w:t>
      </w:r>
    </w:p>
    <w:p w14:paraId="120A64CC">
      <w:pPr>
        <w:pStyle w:val="16"/>
        <w:spacing w:beforeAutospacing="0" w:afterAutospacing="0"/>
        <w:jc w:val="center"/>
        <w:rPr>
          <w:color w:val="auto"/>
          <w:sz w:val="24"/>
          <w:szCs w:val="24"/>
          <w:highlight w:val="none"/>
        </w:rPr>
      </w:pPr>
      <w:r>
        <w:rPr>
          <w:rFonts w:hint="eastAsia" w:ascii="黑体" w:hAnsi="宋体" w:eastAsia="黑体" w:cs="黑体"/>
          <w:b/>
          <w:i/>
          <w:color w:val="auto"/>
          <w:sz w:val="32"/>
          <w:szCs w:val="32"/>
          <w:highlight w:val="none"/>
          <w:u w:val="single"/>
        </w:rPr>
        <w:t>八、磋商响应函</w:t>
      </w:r>
    </w:p>
    <w:p w14:paraId="14648364">
      <w:pPr>
        <w:pStyle w:val="16"/>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致：</w:t>
      </w:r>
    </w:p>
    <w:p w14:paraId="432CAACC">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color w:val="auto"/>
          <w:sz w:val="24"/>
          <w:szCs w:val="24"/>
          <w:highlight w:val="none"/>
          <w:u w:val="single"/>
        </w:rPr>
        <w:t xml:space="preserve">JSZC-320902-HPXM-C2025-0005 </w:t>
      </w:r>
      <w:r>
        <w:rPr>
          <w:rFonts w:hint="eastAsia" w:ascii="宋体" w:hAnsi="宋体" w:eastAsia="宋体" w:cs="宋体"/>
          <w:color w:val="auto"/>
          <w:sz w:val="24"/>
          <w:szCs w:val="24"/>
          <w:highlight w:val="none"/>
        </w:rPr>
        <w:t>号磋商文件，正式授权下述签字人______(姓名)代表我方______________（供应商的名称），全权处理本次项目磋商的有关事宜。</w:t>
      </w:r>
    </w:p>
    <w:p w14:paraId="5B0D4D7B">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14:paraId="5393B004">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1.按磋商文件规定的各项要求，向买方提供所需货物、服务（包含与货物相关的服务及与服务相关的货物）。</w:t>
      </w:r>
    </w:p>
    <w:p w14:paraId="79B6BF02">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2.我们完全理解贵方不一定将合同授予最低报价的供应商。</w:t>
      </w:r>
    </w:p>
    <w:p w14:paraId="5D38E218">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056F4984">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05181D00">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4696985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sz w:val="24"/>
          <w:szCs w:val="24"/>
          <w:highlight w:val="none"/>
        </w:rPr>
      </w:pPr>
      <w:r>
        <w:rPr>
          <w:rFonts w:hint="eastAsia" w:ascii="宋体" w:hAnsi="宋体" w:eastAsia="宋体" w:cs="宋体"/>
          <w:color w:val="auto"/>
          <w:sz w:val="24"/>
          <w:szCs w:val="24"/>
          <w:highlight w:val="none"/>
        </w:rPr>
        <w:t>6.一旦我方成交,我方将根据磋商文件的规定，严格履行合同的责任和义务,并保证在磋商文件规定的时间完成项目，交付买方验收、使用。</w:t>
      </w:r>
    </w:p>
    <w:p w14:paraId="3F51194B">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5"/>
        <w:textAlignment w:val="auto"/>
        <w:rPr>
          <w:color w:val="auto"/>
          <w:sz w:val="24"/>
          <w:szCs w:val="24"/>
          <w:highlight w:val="none"/>
        </w:rPr>
      </w:pPr>
      <w:r>
        <w:rPr>
          <w:rFonts w:hint="eastAsia" w:ascii="宋体" w:hAnsi="宋体" w:eastAsia="宋体" w:cs="宋体"/>
          <w:color w:val="auto"/>
          <w:sz w:val="24"/>
          <w:szCs w:val="24"/>
          <w:highlight w:val="none"/>
        </w:rPr>
        <w:t>7.我方与本磋商有关的正式通讯地址为：</w:t>
      </w:r>
    </w:p>
    <w:p w14:paraId="1D6A4F9A">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地          址：</w:t>
      </w:r>
    </w:p>
    <w:p w14:paraId="5C8EA732">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邮          编：</w:t>
      </w:r>
    </w:p>
    <w:p w14:paraId="09658CED">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电          话：</w:t>
      </w:r>
    </w:p>
    <w:p w14:paraId="4213DB8F">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传          真：</w:t>
      </w:r>
    </w:p>
    <w:p w14:paraId="3453934B">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供应商开户行：</w:t>
      </w:r>
    </w:p>
    <w:p w14:paraId="771BA470">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sz w:val="24"/>
          <w:szCs w:val="24"/>
          <w:highlight w:val="none"/>
        </w:rPr>
      </w:pPr>
      <w:r>
        <w:rPr>
          <w:rFonts w:hint="eastAsia" w:ascii="宋体" w:hAnsi="宋体" w:eastAsia="宋体" w:cs="宋体"/>
          <w:color w:val="auto"/>
          <w:sz w:val="24"/>
          <w:szCs w:val="24"/>
          <w:highlight w:val="none"/>
        </w:rPr>
        <w:t xml:space="preserve">账          号： </w:t>
      </w:r>
    </w:p>
    <w:p w14:paraId="23323059">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期：________年____月____日</w:t>
      </w:r>
    </w:p>
    <w:p w14:paraId="64557A73">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rFonts w:hint="eastAsia" w:ascii="宋体" w:hAnsi="宋体" w:eastAsia="宋体" w:cs="宋体"/>
          <w:color w:val="auto"/>
          <w:sz w:val="24"/>
          <w:szCs w:val="24"/>
          <w:highlight w:val="none"/>
        </w:rPr>
      </w:pPr>
    </w:p>
    <w:p w14:paraId="3AB01BF6">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auto"/>
          <w:sz w:val="24"/>
          <w:szCs w:val="24"/>
          <w:highlight w:val="none"/>
        </w:rPr>
      </w:pPr>
    </w:p>
    <w:p w14:paraId="455B6897">
      <w:pPr>
        <w:pStyle w:val="16"/>
        <w:spacing w:beforeAutospacing="0" w:afterAutospacing="0" w:line="0" w:lineRule="atLeast"/>
        <w:ind w:firstLine="240"/>
        <w:jc w:val="center"/>
        <w:rPr>
          <w:color w:val="auto"/>
          <w:sz w:val="24"/>
          <w:szCs w:val="24"/>
          <w:highlight w:val="none"/>
        </w:rPr>
      </w:pPr>
      <w:r>
        <w:rPr>
          <w:color w:val="auto"/>
          <w:sz w:val="24"/>
          <w:szCs w:val="24"/>
          <w:highlight w:val="none"/>
        </w:rPr>
        <w:t> </w:t>
      </w:r>
    </w:p>
    <w:p w14:paraId="14152783">
      <w:pPr>
        <w:pStyle w:val="16"/>
        <w:spacing w:beforeAutospacing="0" w:afterAutospacing="0" w:line="0" w:lineRule="atLeast"/>
        <w:ind w:firstLine="240"/>
        <w:jc w:val="center"/>
        <w:rPr>
          <w:color w:val="auto"/>
          <w:sz w:val="24"/>
          <w:szCs w:val="24"/>
          <w:highlight w:val="none"/>
        </w:rPr>
      </w:pPr>
    </w:p>
    <w:p w14:paraId="3EBAC7A8">
      <w:pPr>
        <w:pStyle w:val="16"/>
        <w:spacing w:beforeAutospacing="0" w:afterAutospacing="0" w:line="0" w:lineRule="atLeast"/>
        <w:jc w:val="both"/>
        <w:rPr>
          <w:rFonts w:hint="default" w:eastAsiaTheme="minorEastAsia"/>
          <w:b/>
          <w:bCs/>
          <w:color w:val="auto"/>
          <w:sz w:val="24"/>
          <w:szCs w:val="24"/>
          <w:highlight w:val="none"/>
          <w:lang w:val="en-US" w:eastAsia="zh-CN"/>
        </w:rPr>
      </w:pPr>
      <w:r>
        <w:rPr>
          <w:rFonts w:hint="eastAsia"/>
          <w:b/>
          <w:bCs/>
          <w:color w:val="auto"/>
          <w:sz w:val="24"/>
          <w:szCs w:val="24"/>
          <w:highlight w:val="none"/>
          <w:lang w:val="en-US" w:eastAsia="zh-CN"/>
        </w:rPr>
        <w:t>注：以上签字人可为手写签字或直接电脑打字均可。</w:t>
      </w:r>
    </w:p>
    <w:p w14:paraId="115AEC3B">
      <w:pPr>
        <w:pStyle w:val="16"/>
        <w:spacing w:beforeAutospacing="0" w:afterAutospacing="0" w:line="0" w:lineRule="atLeast"/>
        <w:ind w:firstLine="240"/>
        <w:jc w:val="center"/>
        <w:rPr>
          <w:color w:val="auto"/>
          <w:sz w:val="24"/>
          <w:szCs w:val="24"/>
          <w:highlight w:val="none"/>
        </w:rPr>
      </w:pPr>
    </w:p>
    <w:p w14:paraId="260518F8">
      <w:pPr>
        <w:pStyle w:val="16"/>
        <w:spacing w:beforeAutospacing="0" w:afterAutospacing="0" w:line="0" w:lineRule="atLeast"/>
        <w:ind w:firstLine="240"/>
        <w:jc w:val="center"/>
        <w:rPr>
          <w:color w:val="auto"/>
          <w:sz w:val="24"/>
          <w:szCs w:val="24"/>
          <w:highlight w:val="none"/>
        </w:rPr>
      </w:pPr>
    </w:p>
    <w:p w14:paraId="52557489">
      <w:pPr>
        <w:pStyle w:val="16"/>
        <w:spacing w:beforeAutospacing="0" w:afterAutospacing="0" w:line="0" w:lineRule="atLeast"/>
        <w:ind w:firstLine="240"/>
        <w:jc w:val="center"/>
        <w:rPr>
          <w:color w:val="auto"/>
          <w:sz w:val="24"/>
          <w:szCs w:val="24"/>
          <w:highlight w:val="none"/>
        </w:rPr>
      </w:pPr>
    </w:p>
    <w:p w14:paraId="03BBC382">
      <w:pPr>
        <w:pStyle w:val="16"/>
        <w:spacing w:beforeAutospacing="0" w:afterAutospacing="0" w:line="0" w:lineRule="atLeast"/>
        <w:ind w:firstLine="240"/>
        <w:jc w:val="center"/>
        <w:rPr>
          <w:color w:val="auto"/>
          <w:sz w:val="24"/>
          <w:szCs w:val="24"/>
          <w:highlight w:val="none"/>
        </w:rPr>
      </w:pPr>
    </w:p>
    <w:p w14:paraId="30B670C7">
      <w:pPr>
        <w:pStyle w:val="16"/>
        <w:spacing w:beforeAutospacing="0" w:afterAutospacing="0" w:line="0" w:lineRule="atLeast"/>
        <w:ind w:firstLine="240"/>
        <w:jc w:val="center"/>
        <w:rPr>
          <w:color w:val="auto"/>
          <w:sz w:val="24"/>
          <w:szCs w:val="24"/>
          <w:highlight w:val="none"/>
        </w:rPr>
      </w:pPr>
    </w:p>
    <w:p w14:paraId="29F185B6">
      <w:pPr>
        <w:pStyle w:val="16"/>
        <w:spacing w:beforeAutospacing="0" w:afterAutospacing="0" w:line="0" w:lineRule="atLeast"/>
        <w:jc w:val="both"/>
        <w:rPr>
          <w:color w:val="auto"/>
          <w:sz w:val="24"/>
          <w:szCs w:val="24"/>
          <w:highlight w:val="none"/>
        </w:rPr>
      </w:pPr>
    </w:p>
    <w:p w14:paraId="76E9D5C9">
      <w:pPr>
        <w:pStyle w:val="16"/>
        <w:spacing w:beforeAutospacing="0" w:afterAutospacing="0" w:line="0" w:lineRule="atLeast"/>
        <w:jc w:val="center"/>
        <w:rPr>
          <w:color w:val="auto"/>
          <w:sz w:val="24"/>
          <w:szCs w:val="24"/>
          <w:highlight w:val="none"/>
        </w:rPr>
      </w:pPr>
      <w:r>
        <w:rPr>
          <w:color w:val="auto"/>
          <w:sz w:val="24"/>
          <w:szCs w:val="24"/>
          <w:highlight w:val="none"/>
        </w:rPr>
        <w:t> </w:t>
      </w: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szCs w:val="24"/>
          <w:highlight w:val="none"/>
        </w:rPr>
      </w:pPr>
      <w:r>
        <w:rPr>
          <w:rFonts w:hint="eastAsia"/>
          <w:color w:val="auto"/>
          <w:sz w:val="24"/>
          <w:szCs w:val="24"/>
          <w:highlight w:val="none"/>
        </w:rPr>
        <w:t>本公司（联合体）郑重声明，根据《政府采购促进中小企业发展管理办法》（财库﹝2020﹞46 号）的规定，本公司（联合体）参加盐城市</w:t>
      </w:r>
      <w:r>
        <w:rPr>
          <w:rFonts w:hint="eastAsia"/>
          <w:color w:val="auto"/>
          <w:sz w:val="24"/>
          <w:szCs w:val="24"/>
          <w:highlight w:val="none"/>
          <w:lang w:val="en-US" w:eastAsia="zh-CN"/>
        </w:rPr>
        <w:t>亭湖区市场监督管理局</w:t>
      </w:r>
      <w:r>
        <w:rPr>
          <w:rFonts w:hint="eastAsia"/>
          <w:color w:val="auto"/>
          <w:sz w:val="24"/>
          <w:szCs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szCs w:val="24"/>
          <w:highlight w:val="none"/>
        </w:rPr>
        <w:t>采购编号为</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的</w:t>
      </w:r>
      <w:r>
        <w:rPr>
          <w:rFonts w:hint="eastAsia"/>
          <w:i/>
          <w:iCs/>
          <w:color w:val="auto"/>
          <w:sz w:val="24"/>
          <w:szCs w:val="24"/>
          <w:highlight w:val="none"/>
          <w:u w:val="single"/>
        </w:rPr>
        <w:t>（项目名称）</w:t>
      </w:r>
      <w:r>
        <w:rPr>
          <w:rFonts w:hint="eastAsia"/>
          <w:color w:val="auto"/>
          <w:sz w:val="24"/>
          <w:szCs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szCs w:val="24"/>
          <w:highlight w:val="none"/>
        </w:rPr>
      </w:pPr>
      <w:r>
        <w:rPr>
          <w:rFonts w:hint="eastAsia"/>
          <w:i/>
          <w:iCs/>
          <w:color w:val="auto"/>
          <w:sz w:val="24"/>
          <w:szCs w:val="24"/>
          <w:highlight w:val="none"/>
          <w:u w:val="single"/>
        </w:rPr>
        <w:t>（标的名称）</w:t>
      </w:r>
      <w:r>
        <w:rPr>
          <w:rFonts w:hint="eastAsia"/>
          <w:color w:val="auto"/>
          <w:sz w:val="24"/>
          <w:szCs w:val="24"/>
          <w:highlight w:val="none"/>
        </w:rPr>
        <w:t xml:space="preserve"> ，属于</w:t>
      </w:r>
      <w:r>
        <w:rPr>
          <w:rFonts w:hint="eastAsia"/>
          <w:i/>
          <w:iCs/>
          <w:color w:val="auto"/>
          <w:sz w:val="24"/>
          <w:szCs w:val="24"/>
          <w:highlight w:val="none"/>
          <w:u w:val="single"/>
        </w:rPr>
        <w:t>（</w:t>
      </w:r>
      <w:r>
        <w:rPr>
          <w:rFonts w:hint="eastAsia"/>
          <w:i/>
          <w:iCs/>
          <w:color w:val="auto"/>
          <w:sz w:val="24"/>
          <w:szCs w:val="24"/>
          <w:highlight w:val="none"/>
          <w:u w:val="single"/>
          <w:lang w:val="en-US" w:eastAsia="zh-CN"/>
        </w:rPr>
        <w:t>磋商</w:t>
      </w:r>
      <w:r>
        <w:rPr>
          <w:rFonts w:hint="eastAsia"/>
          <w:i/>
          <w:iCs/>
          <w:color w:val="auto"/>
          <w:sz w:val="24"/>
          <w:szCs w:val="24"/>
          <w:highlight w:val="none"/>
          <w:u w:val="single"/>
        </w:rPr>
        <w:t>文件中明确的所属行业）</w:t>
      </w:r>
      <w:r>
        <w:rPr>
          <w:rFonts w:hint="eastAsia"/>
          <w:color w:val="auto"/>
          <w:sz w:val="24"/>
          <w:szCs w:val="24"/>
          <w:highlight w:val="none"/>
        </w:rPr>
        <w:t>；承建（承接）企业为</w:t>
      </w:r>
      <w:r>
        <w:rPr>
          <w:rFonts w:hint="eastAsia"/>
          <w:i/>
          <w:iCs/>
          <w:color w:val="auto"/>
          <w:sz w:val="24"/>
          <w:szCs w:val="24"/>
          <w:highlight w:val="none"/>
          <w:u w:val="single"/>
        </w:rPr>
        <w:t>（企业名称）</w:t>
      </w:r>
      <w:r>
        <w:rPr>
          <w:rFonts w:hint="eastAsia"/>
          <w:color w:val="auto"/>
          <w:sz w:val="24"/>
          <w:szCs w:val="24"/>
          <w:highlight w:val="none"/>
        </w:rPr>
        <w:t>，从业人员</w:t>
      </w:r>
      <w:r>
        <w:rPr>
          <w:rFonts w:hint="eastAsia"/>
          <w:color w:val="auto"/>
          <w:sz w:val="24"/>
          <w:szCs w:val="24"/>
          <w:highlight w:val="none"/>
          <w:u w:val="single"/>
          <w:lang w:val="en-US" w:eastAsia="zh-CN"/>
        </w:rPr>
        <w:t xml:space="preserve">    </w:t>
      </w:r>
      <w:r>
        <w:rPr>
          <w:rFonts w:hint="eastAsia"/>
          <w:color w:val="auto"/>
          <w:sz w:val="24"/>
          <w:szCs w:val="24"/>
          <w:highlight w:val="none"/>
        </w:rPr>
        <w:t>人，营业收入为</w:t>
      </w:r>
      <w:r>
        <w:rPr>
          <w:rFonts w:hint="eastAsia"/>
          <w:color w:val="auto"/>
          <w:sz w:val="24"/>
          <w:szCs w:val="24"/>
          <w:highlight w:val="none"/>
          <w:u w:val="single"/>
          <w:lang w:val="en-US" w:eastAsia="zh-CN"/>
        </w:rPr>
        <w:t xml:space="preserve">    </w:t>
      </w:r>
      <w:r>
        <w:rPr>
          <w:rFonts w:hint="eastAsia"/>
          <w:color w:val="auto"/>
          <w:sz w:val="24"/>
          <w:szCs w:val="24"/>
          <w:highlight w:val="none"/>
        </w:rPr>
        <w:t>万元，资产总额为</w:t>
      </w:r>
      <w:r>
        <w:rPr>
          <w:rFonts w:hint="eastAsia"/>
          <w:color w:val="auto"/>
          <w:sz w:val="24"/>
          <w:szCs w:val="24"/>
          <w:highlight w:val="none"/>
          <w:u w:val="single"/>
          <w:lang w:val="en-US" w:eastAsia="zh-CN"/>
        </w:rPr>
        <w:t xml:space="preserve">    </w:t>
      </w:r>
      <w:r>
        <w:rPr>
          <w:rFonts w:hint="eastAsia"/>
          <w:color w:val="auto"/>
          <w:sz w:val="24"/>
          <w:szCs w:val="24"/>
          <w:highlight w:val="none"/>
        </w:rPr>
        <w:t>万元，属于（</w:t>
      </w:r>
      <w:r>
        <w:rPr>
          <w:rFonts w:hint="eastAsia"/>
          <w:i/>
          <w:iCs/>
          <w:color w:val="auto"/>
          <w:sz w:val="24"/>
          <w:szCs w:val="24"/>
          <w:highlight w:val="none"/>
          <w:u w:val="single"/>
        </w:rPr>
        <w:t>中型企业、小型企业、微型企业</w:t>
      </w:r>
      <w:r>
        <w:rPr>
          <w:rFonts w:hint="eastAsia"/>
          <w:color w:val="auto"/>
          <w:sz w:val="24"/>
          <w:szCs w:val="24"/>
          <w:highlight w:val="none"/>
        </w:rPr>
        <w:t>）；</w:t>
      </w:r>
    </w:p>
    <w:p w14:paraId="139DC9F7">
      <w:pPr>
        <w:numPr>
          <w:ilvl w:val="0"/>
          <w:numId w:val="5"/>
        </w:numPr>
        <w:spacing w:line="500" w:lineRule="exact"/>
        <w:ind w:left="0" w:leftChars="0" w:firstLine="480" w:firstLineChars="0"/>
        <w:jc w:val="both"/>
        <w:rPr>
          <w:rFonts w:hint="eastAsia"/>
          <w:color w:val="auto"/>
          <w:sz w:val="24"/>
          <w:szCs w:val="24"/>
          <w:highlight w:val="none"/>
        </w:rPr>
      </w:pPr>
      <w:r>
        <w:rPr>
          <w:rFonts w:hint="eastAsia"/>
          <w:i/>
          <w:iCs/>
          <w:color w:val="auto"/>
          <w:sz w:val="24"/>
          <w:szCs w:val="24"/>
          <w:highlight w:val="none"/>
          <w:u w:val="single"/>
        </w:rPr>
        <w:t>（标的名称）</w:t>
      </w:r>
      <w:r>
        <w:rPr>
          <w:rFonts w:hint="eastAsia"/>
          <w:color w:val="auto"/>
          <w:sz w:val="24"/>
          <w:szCs w:val="24"/>
          <w:highlight w:val="none"/>
        </w:rPr>
        <w:t xml:space="preserve"> ，属于</w:t>
      </w:r>
      <w:r>
        <w:rPr>
          <w:rFonts w:hint="eastAsia"/>
          <w:i/>
          <w:iCs/>
          <w:color w:val="auto"/>
          <w:sz w:val="24"/>
          <w:szCs w:val="24"/>
          <w:highlight w:val="none"/>
          <w:u w:val="single"/>
        </w:rPr>
        <w:t>（</w:t>
      </w:r>
      <w:r>
        <w:rPr>
          <w:rFonts w:hint="eastAsia"/>
          <w:i/>
          <w:iCs/>
          <w:color w:val="auto"/>
          <w:sz w:val="24"/>
          <w:szCs w:val="24"/>
          <w:highlight w:val="none"/>
          <w:u w:val="single"/>
          <w:lang w:val="en-US" w:eastAsia="zh-CN"/>
        </w:rPr>
        <w:t>磋商</w:t>
      </w:r>
      <w:r>
        <w:rPr>
          <w:rFonts w:hint="eastAsia"/>
          <w:i/>
          <w:iCs/>
          <w:color w:val="auto"/>
          <w:sz w:val="24"/>
          <w:szCs w:val="24"/>
          <w:highlight w:val="none"/>
          <w:u w:val="single"/>
        </w:rPr>
        <w:t>文件中明确的所属行业）</w:t>
      </w:r>
      <w:r>
        <w:rPr>
          <w:rFonts w:hint="eastAsia"/>
          <w:color w:val="auto"/>
          <w:sz w:val="24"/>
          <w:szCs w:val="24"/>
          <w:highlight w:val="none"/>
        </w:rPr>
        <w:t>；承建（承接）企业为</w:t>
      </w:r>
      <w:r>
        <w:rPr>
          <w:rFonts w:hint="eastAsia"/>
          <w:i/>
          <w:iCs/>
          <w:color w:val="auto"/>
          <w:sz w:val="24"/>
          <w:szCs w:val="24"/>
          <w:highlight w:val="none"/>
          <w:u w:val="single"/>
        </w:rPr>
        <w:t>（企业名称）</w:t>
      </w:r>
      <w:r>
        <w:rPr>
          <w:rFonts w:hint="eastAsia"/>
          <w:color w:val="auto"/>
          <w:sz w:val="24"/>
          <w:szCs w:val="24"/>
          <w:highlight w:val="none"/>
        </w:rPr>
        <w:t>，从业人员</w:t>
      </w:r>
      <w:r>
        <w:rPr>
          <w:rFonts w:hint="eastAsia"/>
          <w:color w:val="auto"/>
          <w:sz w:val="24"/>
          <w:szCs w:val="24"/>
          <w:highlight w:val="none"/>
          <w:u w:val="single"/>
          <w:lang w:val="en-US" w:eastAsia="zh-CN"/>
        </w:rPr>
        <w:t xml:space="preserve">    </w:t>
      </w:r>
      <w:r>
        <w:rPr>
          <w:rFonts w:hint="eastAsia"/>
          <w:color w:val="auto"/>
          <w:sz w:val="24"/>
          <w:szCs w:val="24"/>
          <w:highlight w:val="none"/>
        </w:rPr>
        <w:t>人，营业收入为</w:t>
      </w:r>
      <w:r>
        <w:rPr>
          <w:rFonts w:hint="eastAsia"/>
          <w:color w:val="auto"/>
          <w:sz w:val="24"/>
          <w:szCs w:val="24"/>
          <w:highlight w:val="none"/>
          <w:u w:val="single"/>
          <w:lang w:val="en-US" w:eastAsia="zh-CN"/>
        </w:rPr>
        <w:t xml:space="preserve">    </w:t>
      </w:r>
      <w:r>
        <w:rPr>
          <w:rFonts w:hint="eastAsia"/>
          <w:color w:val="auto"/>
          <w:sz w:val="24"/>
          <w:szCs w:val="24"/>
          <w:highlight w:val="none"/>
        </w:rPr>
        <w:t>万元，资产总额为</w:t>
      </w:r>
      <w:r>
        <w:rPr>
          <w:rFonts w:hint="eastAsia"/>
          <w:color w:val="auto"/>
          <w:sz w:val="24"/>
          <w:szCs w:val="24"/>
          <w:highlight w:val="none"/>
          <w:u w:val="single"/>
          <w:lang w:val="en-US" w:eastAsia="zh-CN"/>
        </w:rPr>
        <w:t xml:space="preserve">    </w:t>
      </w:r>
      <w:r>
        <w:rPr>
          <w:rFonts w:hint="eastAsia"/>
          <w:color w:val="auto"/>
          <w:sz w:val="24"/>
          <w:szCs w:val="24"/>
          <w:highlight w:val="none"/>
        </w:rPr>
        <w:t>万元，属于</w:t>
      </w:r>
      <w:r>
        <w:rPr>
          <w:rFonts w:hint="eastAsia"/>
          <w:i/>
          <w:iCs/>
          <w:color w:val="auto"/>
          <w:sz w:val="24"/>
          <w:szCs w:val="24"/>
          <w:highlight w:val="none"/>
          <w:u w:val="single"/>
        </w:rPr>
        <w:t>（中型企业、小型企业、微型企业）</w:t>
      </w:r>
      <w:r>
        <w:rPr>
          <w:rFonts w:hint="eastAsia"/>
          <w:color w:val="auto"/>
          <w:sz w:val="24"/>
          <w:szCs w:val="24"/>
          <w:highlight w:val="none"/>
        </w:rPr>
        <w:t>；</w:t>
      </w:r>
    </w:p>
    <w:p w14:paraId="768A76BA">
      <w:pPr>
        <w:numPr>
          <w:ilvl w:val="0"/>
          <w:numId w:val="0"/>
        </w:numPr>
        <w:spacing w:line="500" w:lineRule="exact"/>
        <w:ind w:firstLine="480" w:firstLineChars="200"/>
        <w:jc w:val="both"/>
        <w:rPr>
          <w:rFonts w:hint="eastAsia"/>
          <w:color w:val="auto"/>
          <w:sz w:val="24"/>
          <w:szCs w:val="24"/>
          <w:highlight w:val="none"/>
        </w:rPr>
      </w:pPr>
      <w:r>
        <w:rPr>
          <w:rFonts w:hint="eastAsia"/>
          <w:color w:val="auto"/>
          <w:sz w:val="24"/>
          <w:szCs w:val="24"/>
          <w:highlight w:val="none"/>
        </w:rPr>
        <w:t>……</w:t>
      </w:r>
    </w:p>
    <w:p w14:paraId="34FA3AC3">
      <w:pPr>
        <w:numPr>
          <w:ilvl w:val="0"/>
          <w:numId w:val="0"/>
        </w:numPr>
        <w:spacing w:line="500" w:lineRule="exact"/>
        <w:ind w:firstLine="480" w:firstLineChars="200"/>
        <w:jc w:val="both"/>
        <w:rPr>
          <w:rFonts w:hint="eastAsia"/>
          <w:color w:val="auto"/>
          <w:sz w:val="24"/>
          <w:szCs w:val="24"/>
          <w:highlight w:val="none"/>
        </w:rPr>
      </w:pPr>
      <w:r>
        <w:rPr>
          <w:rFonts w:hint="eastAsia"/>
          <w:color w:val="auto"/>
          <w:sz w:val="24"/>
          <w:szCs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szCs w:val="24"/>
          <w:highlight w:val="none"/>
        </w:rPr>
      </w:pPr>
      <w:r>
        <w:rPr>
          <w:rFonts w:hint="eastAsia"/>
          <w:color w:val="auto"/>
          <w:sz w:val="24"/>
          <w:szCs w:val="24"/>
          <w:highlight w:val="none"/>
        </w:rPr>
        <w:t>本企业对上述声明内容的真实性负责。如有虚假，将依法承担相应责任。</w:t>
      </w:r>
    </w:p>
    <w:p w14:paraId="0FE19C0D">
      <w:pPr>
        <w:pStyle w:val="16"/>
        <w:spacing w:beforeAutospacing="0" w:afterAutospacing="0" w:line="0" w:lineRule="atLeast"/>
        <w:ind w:right="720"/>
        <w:jc w:val="both"/>
        <w:rPr>
          <w:color w:val="auto"/>
          <w:sz w:val="24"/>
          <w:szCs w:val="24"/>
          <w:highlight w:val="none"/>
        </w:rPr>
      </w:pPr>
      <w:r>
        <w:rPr>
          <w:color w:val="auto"/>
          <w:sz w:val="24"/>
          <w:szCs w:val="24"/>
          <w:highlight w:val="none"/>
        </w:rPr>
        <w:t> </w:t>
      </w:r>
    </w:p>
    <w:p w14:paraId="6CD49601">
      <w:pPr>
        <w:pStyle w:val="16"/>
        <w:spacing w:beforeAutospacing="0" w:afterAutospacing="0" w:line="0" w:lineRule="atLeast"/>
        <w:ind w:right="180" w:firstLine="360"/>
        <w:jc w:val="right"/>
        <w:rPr>
          <w:color w:val="auto"/>
          <w:sz w:val="24"/>
          <w:szCs w:val="24"/>
          <w:highlight w:val="none"/>
        </w:rPr>
      </w:pPr>
      <w:r>
        <w:rPr>
          <w:rFonts w:hint="eastAsia" w:ascii="宋体" w:hAnsi="宋体" w:eastAsia="宋体" w:cs="宋体"/>
          <w:color w:val="auto"/>
          <w:sz w:val="24"/>
          <w:szCs w:val="24"/>
          <w:highlight w:val="none"/>
        </w:rPr>
        <w:t>企业名称（加盖CA电子公章）：</w:t>
      </w:r>
    </w:p>
    <w:p w14:paraId="19405A62">
      <w:pPr>
        <w:pStyle w:val="16"/>
        <w:spacing w:beforeAutospacing="0" w:afterAutospacing="0" w:line="0" w:lineRule="atLeast"/>
        <w:ind w:right="480" w:firstLine="5400"/>
        <w:jc w:val="both"/>
        <w:rPr>
          <w:color w:val="auto"/>
          <w:sz w:val="24"/>
          <w:szCs w:val="24"/>
          <w:highlight w:val="none"/>
        </w:rPr>
      </w:pPr>
      <w:r>
        <w:rPr>
          <w:rFonts w:hint="eastAsia" w:ascii="宋体" w:hAnsi="宋体" w:eastAsia="宋体" w:cs="宋体"/>
          <w:color w:val="auto"/>
          <w:sz w:val="24"/>
          <w:szCs w:val="24"/>
          <w:highlight w:val="none"/>
        </w:rPr>
        <w:t>日  期：</w:t>
      </w:r>
    </w:p>
    <w:p w14:paraId="09B20EFD">
      <w:pPr>
        <w:pStyle w:val="16"/>
        <w:spacing w:beforeAutospacing="0" w:afterAutospacing="0" w:line="0" w:lineRule="atLeast"/>
        <w:ind w:firstLine="240"/>
        <w:jc w:val="both"/>
        <w:rPr>
          <w:color w:val="auto"/>
          <w:sz w:val="24"/>
          <w:szCs w:val="24"/>
          <w:highlight w:val="none"/>
        </w:rPr>
      </w:pPr>
      <w:r>
        <w:rPr>
          <w:color w:val="auto"/>
          <w:sz w:val="24"/>
          <w:szCs w:val="24"/>
          <w:highlight w:val="none"/>
        </w:rPr>
        <w:t> </w:t>
      </w:r>
    </w:p>
    <w:p w14:paraId="5FD8B9FE">
      <w:pPr>
        <w:pStyle w:val="16"/>
        <w:spacing w:beforeAutospacing="0" w:afterAutospacing="0" w:line="0" w:lineRule="atLeast"/>
        <w:ind w:firstLine="480"/>
        <w:jc w:val="both"/>
        <w:rPr>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4181A3D1">
      <w:pPr>
        <w:pStyle w:val="16"/>
        <w:spacing w:beforeAutospacing="0" w:afterAutospacing="0" w:line="0" w:lineRule="atLeast"/>
        <w:ind w:firstLine="480"/>
        <w:jc w:val="both"/>
        <w:rPr>
          <w:color w:val="auto"/>
          <w:sz w:val="24"/>
          <w:szCs w:val="24"/>
          <w:highlight w:val="none"/>
        </w:rPr>
      </w:pPr>
      <w:r>
        <w:rPr>
          <w:rFonts w:hint="eastAsia" w:ascii="宋体" w:hAnsi="宋体" w:eastAsia="宋体" w:cs="宋体"/>
          <w:color w:val="auto"/>
          <w:sz w:val="24"/>
          <w:szCs w:val="24"/>
          <w:highlight w:val="none"/>
        </w:rPr>
        <w:t>备注2：供应商如不提供此声明函，价格将不做相应扣除</w:t>
      </w:r>
      <w:r>
        <w:rPr>
          <w:rFonts w:hint="eastAsia" w:ascii="宋体" w:hAnsi="宋体" w:eastAsia="宋体" w:cs="宋体"/>
          <w:color w:val="auto"/>
          <w:sz w:val="24"/>
          <w:szCs w:val="24"/>
          <w:highlight w:val="none"/>
          <w:lang w:eastAsia="zh-CN"/>
        </w:rPr>
        <w:t>（如项目全面面向中小企业，则资格审查不通过）</w:t>
      </w:r>
      <w:r>
        <w:rPr>
          <w:rFonts w:hint="eastAsia" w:ascii="宋体" w:hAnsi="宋体" w:eastAsia="宋体" w:cs="宋体"/>
          <w:color w:val="auto"/>
          <w:sz w:val="24"/>
          <w:szCs w:val="24"/>
          <w:highlight w:val="none"/>
        </w:rPr>
        <w:t>。</w:t>
      </w:r>
    </w:p>
    <w:p w14:paraId="5F737D97">
      <w:pPr>
        <w:pStyle w:val="16"/>
        <w:spacing w:beforeAutospacing="0" w:afterAutospacing="0" w:line="0" w:lineRule="atLeast"/>
        <w:jc w:val="center"/>
        <w:rPr>
          <w:color w:val="auto"/>
          <w:sz w:val="24"/>
          <w:szCs w:val="24"/>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十、残疾人福利性单位声明函（分包号：**）</w:t>
      </w:r>
    </w:p>
    <w:p w14:paraId="46D22EAF">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）的规定，本单位为符合条件的残疾人福利性单位，且本单位参加______单位的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项目（分包号：**）采购活动提供本单位制造的货物，或者提供其他残疾人福利性单位制造的货物（不包括使用非残疾人福利性单位注册商标的货物）。</w:t>
      </w:r>
    </w:p>
    <w:p w14:paraId="3AFA6EE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9207B58">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sz w:val="24"/>
          <w:szCs w:val="24"/>
          <w:highlight w:val="none"/>
        </w:rPr>
      </w:pPr>
      <w:r>
        <w:rPr>
          <w:color w:val="auto"/>
          <w:sz w:val="24"/>
          <w:szCs w:val="24"/>
          <w:highlight w:val="none"/>
        </w:rPr>
        <w:t> </w:t>
      </w:r>
    </w:p>
    <w:p w14:paraId="748D2CB6">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w:t>
      </w:r>
      <w:r>
        <w:rPr>
          <w:rFonts w:hint="eastAsia" w:ascii="宋体" w:hAnsi="宋体" w:eastAsia="宋体" w:cs="宋体"/>
          <w:color w:val="auto"/>
          <w:sz w:val="24"/>
          <w:szCs w:val="24"/>
          <w:highlight w:val="none"/>
          <w:lang w:eastAsia="zh-CN"/>
        </w:rPr>
        <w:t>（如项目全面面向中小企业，则资格审查不通过）</w:t>
      </w:r>
      <w:r>
        <w:rPr>
          <w:rFonts w:hint="eastAsia" w:ascii="宋体" w:hAnsi="宋体" w:eastAsia="宋体" w:cs="宋体"/>
          <w:color w:val="auto"/>
          <w:sz w:val="24"/>
          <w:szCs w:val="24"/>
          <w:highlight w:val="none"/>
        </w:rPr>
        <w:t>。2、成交供应商为残疾人福利单位的，此声明函将随成交结果同时公告，接受社会监督）</w:t>
      </w:r>
    </w:p>
    <w:p w14:paraId="20A8B68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624"/>
        <w:jc w:val="both"/>
        <w:textAlignment w:val="auto"/>
        <w:rPr>
          <w:color w:val="auto"/>
          <w:sz w:val="24"/>
          <w:szCs w:val="24"/>
          <w:highlight w:val="none"/>
        </w:rPr>
      </w:pPr>
      <w:r>
        <w:rPr>
          <w:color w:val="auto"/>
          <w:sz w:val="24"/>
          <w:szCs w:val="24"/>
          <w:highlight w:val="none"/>
        </w:rPr>
        <w:t> </w:t>
      </w:r>
    </w:p>
    <w:p w14:paraId="64B7C548">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40" w:lineRule="exact"/>
        <w:ind w:right="1560" w:firstLine="624"/>
        <w:jc w:val="center"/>
        <w:textAlignment w:val="auto"/>
        <w:rPr>
          <w:color w:val="auto"/>
          <w:sz w:val="24"/>
          <w:szCs w:val="24"/>
          <w:highlight w:val="none"/>
        </w:rPr>
      </w:pPr>
      <w:r>
        <w:rPr>
          <w:rFonts w:ascii="仿宋_GB2312" w:eastAsia="仿宋_GB2312" w:cs="仿宋_GB2312"/>
          <w:color w:val="auto"/>
          <w:sz w:val="28"/>
          <w:szCs w:val="28"/>
          <w:highlight w:val="none"/>
        </w:rPr>
        <w:t xml:space="preserve">             </w:t>
      </w:r>
      <w:r>
        <w:rPr>
          <w:rFonts w:hint="eastAsia" w:ascii="宋体" w:hAnsi="宋体" w:eastAsia="宋体" w:cs="宋体"/>
          <w:color w:val="auto"/>
          <w:sz w:val="24"/>
          <w:szCs w:val="24"/>
          <w:highlight w:val="none"/>
        </w:rPr>
        <w:t>          供应商全称（加盖CA电子公章）：</w:t>
      </w:r>
    </w:p>
    <w:p w14:paraId="12759A72">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40" w:lineRule="exact"/>
        <w:ind w:right="1560" w:firstLine="480"/>
        <w:jc w:val="center"/>
        <w:textAlignment w:val="auto"/>
        <w:rPr>
          <w:color w:val="auto"/>
          <w:sz w:val="24"/>
          <w:szCs w:val="24"/>
          <w:highlight w:val="none"/>
        </w:rPr>
      </w:pPr>
      <w:r>
        <w:rPr>
          <w:rFonts w:hint="eastAsia" w:ascii="宋体" w:hAnsi="宋体" w:eastAsia="宋体" w:cs="宋体"/>
          <w:color w:val="auto"/>
          <w:sz w:val="24"/>
          <w:szCs w:val="24"/>
          <w:highlight w:val="none"/>
        </w:rPr>
        <w:t>        日  期：</w:t>
      </w:r>
    </w:p>
    <w:p w14:paraId="605AB47E">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2DAC0C71">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2F354FC5">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71DA123F">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1A9A3829">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35CA2509">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1F4B7953">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5C92A01D">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1838436E">
      <w:pPr>
        <w:pStyle w:val="16"/>
        <w:spacing w:beforeAutospacing="0" w:afterAutospacing="0" w:line="0" w:lineRule="atLeast"/>
        <w:jc w:val="center"/>
        <w:rPr>
          <w:color w:val="auto"/>
          <w:sz w:val="24"/>
          <w:szCs w:val="24"/>
          <w:highlight w:val="none"/>
        </w:rPr>
      </w:pPr>
      <w:r>
        <w:rPr>
          <w:color w:val="auto"/>
          <w:sz w:val="24"/>
          <w:szCs w:val="24"/>
          <w:highlight w:val="none"/>
        </w:rPr>
        <w:t> </w:t>
      </w:r>
    </w:p>
    <w:p w14:paraId="27D03E28">
      <w:pPr>
        <w:pStyle w:val="16"/>
        <w:spacing w:beforeAutospacing="0" w:afterAutospacing="0" w:line="0" w:lineRule="atLeast"/>
        <w:jc w:val="center"/>
        <w:rPr>
          <w:color w:val="auto"/>
          <w:sz w:val="24"/>
          <w:szCs w:val="24"/>
          <w:highlight w:val="none"/>
        </w:rPr>
      </w:pPr>
    </w:p>
    <w:p w14:paraId="6F92E761">
      <w:pPr>
        <w:pStyle w:val="16"/>
        <w:spacing w:beforeAutospacing="0" w:afterAutospacing="0" w:line="0" w:lineRule="atLeast"/>
        <w:jc w:val="center"/>
        <w:rPr>
          <w:color w:val="auto"/>
          <w:sz w:val="24"/>
          <w:szCs w:val="24"/>
          <w:highlight w:val="none"/>
        </w:rPr>
      </w:pPr>
    </w:p>
    <w:p w14:paraId="630A61FF">
      <w:pPr>
        <w:pStyle w:val="16"/>
        <w:spacing w:beforeAutospacing="0" w:afterAutospacing="0" w:line="0" w:lineRule="atLeast"/>
        <w:jc w:val="center"/>
        <w:rPr>
          <w:color w:val="auto"/>
          <w:sz w:val="24"/>
          <w:szCs w:val="24"/>
          <w:highlight w:val="none"/>
        </w:rPr>
      </w:pPr>
    </w:p>
    <w:p w14:paraId="00716062">
      <w:pPr>
        <w:pStyle w:val="16"/>
        <w:spacing w:beforeAutospacing="0" w:afterAutospacing="0" w:line="0" w:lineRule="atLeast"/>
        <w:jc w:val="center"/>
        <w:rPr>
          <w:color w:val="auto"/>
          <w:sz w:val="24"/>
          <w:szCs w:val="24"/>
          <w:highlight w:val="none"/>
        </w:rPr>
      </w:pPr>
    </w:p>
    <w:p w14:paraId="1F4391AC">
      <w:pPr>
        <w:pStyle w:val="16"/>
        <w:spacing w:beforeAutospacing="0" w:afterAutospacing="0" w:line="0" w:lineRule="atLeast"/>
        <w:jc w:val="center"/>
        <w:rPr>
          <w:color w:val="auto"/>
          <w:sz w:val="24"/>
          <w:szCs w:val="24"/>
          <w:highlight w:val="none"/>
        </w:rPr>
      </w:pPr>
    </w:p>
    <w:p w14:paraId="5D9EFA1D">
      <w:pPr>
        <w:pStyle w:val="16"/>
        <w:spacing w:beforeAutospacing="0" w:afterAutospacing="0" w:line="0" w:lineRule="atLeast"/>
        <w:jc w:val="center"/>
        <w:rPr>
          <w:color w:val="auto"/>
          <w:sz w:val="24"/>
          <w:szCs w:val="24"/>
          <w:highlight w:val="none"/>
        </w:rPr>
      </w:pPr>
    </w:p>
    <w:p w14:paraId="30AC90BB">
      <w:pPr>
        <w:pStyle w:val="16"/>
        <w:spacing w:beforeAutospacing="0" w:afterAutospacing="0" w:line="0" w:lineRule="atLeast"/>
        <w:jc w:val="center"/>
        <w:rPr>
          <w:color w:val="auto"/>
          <w:sz w:val="24"/>
          <w:szCs w:val="24"/>
          <w:highlight w:val="none"/>
        </w:rPr>
      </w:pPr>
    </w:p>
    <w:p w14:paraId="530CA522">
      <w:pPr>
        <w:pStyle w:val="16"/>
        <w:spacing w:beforeAutospacing="0" w:afterAutospacing="0" w:line="0" w:lineRule="atLeast"/>
        <w:jc w:val="center"/>
        <w:rPr>
          <w:color w:val="auto"/>
          <w:sz w:val="24"/>
          <w:szCs w:val="24"/>
          <w:highlight w:val="none"/>
        </w:rPr>
      </w:pPr>
    </w:p>
    <w:p w14:paraId="4AFC813C">
      <w:pPr>
        <w:pStyle w:val="16"/>
        <w:spacing w:beforeAutospacing="0" w:afterAutospacing="0" w:line="0" w:lineRule="atLeast"/>
        <w:jc w:val="center"/>
        <w:rPr>
          <w:color w:val="auto"/>
          <w:sz w:val="24"/>
          <w:szCs w:val="24"/>
          <w:highlight w:val="none"/>
        </w:rPr>
      </w:pPr>
    </w:p>
    <w:p w14:paraId="106020E6">
      <w:pPr>
        <w:pStyle w:val="16"/>
        <w:spacing w:beforeAutospacing="0" w:afterAutospacing="0" w:line="0" w:lineRule="atLeast"/>
        <w:jc w:val="center"/>
        <w:rPr>
          <w:color w:val="auto"/>
          <w:sz w:val="24"/>
          <w:szCs w:val="24"/>
          <w:highlight w:val="none"/>
        </w:rPr>
      </w:pPr>
    </w:p>
    <w:p w14:paraId="4E924492">
      <w:pPr>
        <w:pStyle w:val="16"/>
        <w:spacing w:beforeAutospacing="0" w:afterAutospacing="0" w:line="0" w:lineRule="atLeast"/>
        <w:jc w:val="center"/>
        <w:rPr>
          <w:color w:val="auto"/>
          <w:sz w:val="24"/>
          <w:szCs w:val="24"/>
          <w:highlight w:val="none"/>
        </w:rPr>
      </w:pPr>
    </w:p>
    <w:p w14:paraId="084FF896">
      <w:pPr>
        <w:pStyle w:val="16"/>
        <w:spacing w:beforeAutospacing="0" w:afterAutospacing="0" w:line="0" w:lineRule="atLeast"/>
        <w:jc w:val="center"/>
        <w:rPr>
          <w:color w:val="auto"/>
          <w:sz w:val="24"/>
          <w:szCs w:val="24"/>
          <w:highlight w:val="none"/>
        </w:rPr>
      </w:pPr>
    </w:p>
    <w:p w14:paraId="67CE75D2">
      <w:pPr>
        <w:pStyle w:val="16"/>
        <w:spacing w:beforeAutospacing="0" w:afterAutospacing="0" w:line="0" w:lineRule="atLeast"/>
        <w:jc w:val="center"/>
        <w:rPr>
          <w:color w:val="auto"/>
          <w:sz w:val="24"/>
          <w:szCs w:val="24"/>
          <w:highlight w:val="none"/>
        </w:rPr>
      </w:pPr>
    </w:p>
    <w:p w14:paraId="32E8B89B">
      <w:pPr>
        <w:pStyle w:val="16"/>
        <w:spacing w:beforeAutospacing="0" w:afterAutospacing="0" w:line="0" w:lineRule="atLeast"/>
        <w:jc w:val="center"/>
        <w:rPr>
          <w:color w:val="auto"/>
          <w:sz w:val="24"/>
          <w:szCs w:val="24"/>
          <w:highlight w:val="none"/>
        </w:rPr>
      </w:pPr>
    </w:p>
    <w:p w14:paraId="62BDD604">
      <w:pPr>
        <w:pStyle w:val="16"/>
        <w:spacing w:beforeAutospacing="0" w:afterAutospacing="0" w:line="0" w:lineRule="atLeast"/>
        <w:jc w:val="center"/>
        <w:rPr>
          <w:color w:val="auto"/>
          <w:sz w:val="24"/>
          <w:szCs w:val="24"/>
          <w:highlight w:val="none"/>
        </w:rPr>
      </w:pPr>
    </w:p>
    <w:p w14:paraId="211BBB8F">
      <w:pPr>
        <w:pStyle w:val="16"/>
        <w:spacing w:beforeAutospacing="0" w:afterAutospacing="0" w:line="0" w:lineRule="atLeast"/>
        <w:jc w:val="center"/>
        <w:rPr>
          <w:color w:val="auto"/>
          <w:sz w:val="24"/>
          <w:szCs w:val="24"/>
          <w:highlight w:val="none"/>
        </w:rPr>
      </w:pPr>
    </w:p>
    <w:p w14:paraId="1C1CC56F">
      <w:pPr>
        <w:pStyle w:val="16"/>
        <w:spacing w:beforeAutospacing="0" w:afterAutospacing="0"/>
        <w:jc w:val="both"/>
        <w:rPr>
          <w:color w:val="auto"/>
          <w:sz w:val="24"/>
          <w:szCs w:val="24"/>
          <w:highlight w:val="none"/>
        </w:rPr>
      </w:pPr>
      <w:r>
        <w:rPr>
          <w:color w:val="auto"/>
          <w:sz w:val="24"/>
          <w:szCs w:val="24"/>
          <w:highlight w:val="none"/>
        </w:rPr>
        <w:t> </w:t>
      </w:r>
    </w:p>
    <w:p w14:paraId="37E5D492">
      <w:pPr>
        <w:pStyle w:val="16"/>
        <w:spacing w:beforeAutospacing="0" w:afterAutospacing="0"/>
        <w:jc w:val="both"/>
        <w:rPr>
          <w:color w:val="auto"/>
          <w:sz w:val="24"/>
          <w:szCs w:val="24"/>
          <w:highlight w:val="none"/>
        </w:rPr>
      </w:pPr>
      <w:r>
        <w:rPr>
          <w:color w:val="auto"/>
          <w:sz w:val="24"/>
          <w:szCs w:val="24"/>
          <w:highlight w:val="none"/>
        </w:rPr>
        <w:t> </w:t>
      </w:r>
    </w:p>
    <w:p w14:paraId="5DE1357B">
      <w:pPr>
        <w:pStyle w:val="16"/>
        <w:spacing w:beforeAutospacing="0" w:afterAutospacing="0"/>
        <w:jc w:val="center"/>
        <w:rPr>
          <w:color w:val="auto"/>
          <w:sz w:val="24"/>
          <w:szCs w:val="24"/>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、分项报价表（分包号：**）（服务类）</w:t>
      </w:r>
    </w:p>
    <w:tbl>
      <w:tblPr>
        <w:tblStyle w:val="17"/>
        <w:tblW w:w="96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949"/>
        <w:gridCol w:w="1118"/>
        <w:gridCol w:w="825"/>
        <w:gridCol w:w="1286"/>
        <w:gridCol w:w="1730"/>
        <w:gridCol w:w="1922"/>
      </w:tblGrid>
      <w:tr w14:paraId="2D4CA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trPr>
        <w:tc>
          <w:tcPr>
            <w:tcW w:w="847" w:type="dxa"/>
            <w:vMerge w:val="restart"/>
            <w:noWrap/>
            <w:vAlign w:val="center"/>
          </w:tcPr>
          <w:p w14:paraId="438A4817">
            <w:pPr>
              <w:spacing w:line="0" w:lineRule="atLeast"/>
              <w:jc w:val="center"/>
              <w:rPr>
                <w:rFonts w:ascii="宋体" w:hAnsi="宋体"/>
                <w:sz w:val="24"/>
              </w:rPr>
            </w:pPr>
            <w:r>
              <w:rPr>
                <w:rFonts w:hint="eastAsia" w:ascii="宋体" w:hAnsi="宋体"/>
                <w:sz w:val="24"/>
              </w:rPr>
              <w:t>序号</w:t>
            </w:r>
          </w:p>
        </w:tc>
        <w:tc>
          <w:tcPr>
            <w:tcW w:w="1949" w:type="dxa"/>
            <w:noWrap/>
            <w:vAlign w:val="center"/>
          </w:tcPr>
          <w:p w14:paraId="2AFC6895">
            <w:pPr>
              <w:spacing w:line="0" w:lineRule="atLeast"/>
              <w:jc w:val="center"/>
              <w:rPr>
                <w:rFonts w:ascii="宋体" w:hAnsi="宋体"/>
                <w:sz w:val="24"/>
              </w:rPr>
            </w:pPr>
            <w:r>
              <w:rPr>
                <w:rFonts w:hint="eastAsia" w:ascii="宋体" w:hAnsi="宋体"/>
                <w:sz w:val="24"/>
              </w:rPr>
              <w:t>1</w:t>
            </w:r>
          </w:p>
        </w:tc>
        <w:tc>
          <w:tcPr>
            <w:tcW w:w="1118" w:type="dxa"/>
            <w:noWrap/>
            <w:vAlign w:val="center"/>
          </w:tcPr>
          <w:p w14:paraId="3044E7E2">
            <w:pPr>
              <w:spacing w:line="0" w:lineRule="atLeast"/>
              <w:jc w:val="center"/>
              <w:rPr>
                <w:rFonts w:ascii="宋体" w:hAnsi="宋体"/>
                <w:sz w:val="24"/>
              </w:rPr>
            </w:pPr>
            <w:r>
              <w:rPr>
                <w:rFonts w:hint="eastAsia" w:ascii="宋体" w:hAnsi="宋体"/>
                <w:sz w:val="24"/>
              </w:rPr>
              <w:t>2</w:t>
            </w:r>
          </w:p>
        </w:tc>
        <w:tc>
          <w:tcPr>
            <w:tcW w:w="825" w:type="dxa"/>
            <w:noWrap/>
            <w:vAlign w:val="center"/>
          </w:tcPr>
          <w:p w14:paraId="5E809514">
            <w:pPr>
              <w:spacing w:line="0" w:lineRule="atLeast"/>
              <w:jc w:val="center"/>
              <w:rPr>
                <w:rFonts w:ascii="宋体" w:hAnsi="宋体"/>
                <w:sz w:val="24"/>
              </w:rPr>
            </w:pPr>
            <w:r>
              <w:rPr>
                <w:rFonts w:hint="eastAsia" w:ascii="宋体" w:hAnsi="宋体"/>
                <w:sz w:val="24"/>
              </w:rPr>
              <w:t>3</w:t>
            </w:r>
          </w:p>
        </w:tc>
        <w:tc>
          <w:tcPr>
            <w:tcW w:w="1286" w:type="dxa"/>
            <w:noWrap/>
            <w:vAlign w:val="center"/>
          </w:tcPr>
          <w:p w14:paraId="05E40127">
            <w:pPr>
              <w:spacing w:line="0" w:lineRule="atLeast"/>
              <w:jc w:val="center"/>
              <w:rPr>
                <w:rFonts w:ascii="宋体" w:hAnsi="宋体"/>
                <w:sz w:val="24"/>
              </w:rPr>
            </w:pPr>
            <w:r>
              <w:rPr>
                <w:rFonts w:hint="eastAsia" w:ascii="宋体" w:hAnsi="宋体"/>
                <w:sz w:val="24"/>
              </w:rPr>
              <w:t>4</w:t>
            </w:r>
          </w:p>
        </w:tc>
        <w:tc>
          <w:tcPr>
            <w:tcW w:w="1730" w:type="dxa"/>
            <w:noWrap/>
            <w:vAlign w:val="center"/>
          </w:tcPr>
          <w:p w14:paraId="170CE354">
            <w:pPr>
              <w:spacing w:line="0" w:lineRule="atLeast"/>
              <w:jc w:val="center"/>
              <w:rPr>
                <w:rFonts w:ascii="宋体" w:hAnsi="宋体"/>
                <w:sz w:val="24"/>
              </w:rPr>
            </w:pPr>
            <w:r>
              <w:rPr>
                <w:rFonts w:hint="eastAsia" w:ascii="宋体" w:hAnsi="宋体"/>
                <w:sz w:val="24"/>
              </w:rPr>
              <w:t>5</w:t>
            </w:r>
          </w:p>
        </w:tc>
        <w:tc>
          <w:tcPr>
            <w:tcW w:w="1922" w:type="dxa"/>
            <w:noWrap/>
            <w:vAlign w:val="center"/>
          </w:tcPr>
          <w:p w14:paraId="6479BCCB">
            <w:pPr>
              <w:spacing w:line="0" w:lineRule="atLeast"/>
              <w:jc w:val="center"/>
              <w:rPr>
                <w:rFonts w:ascii="宋体" w:hAnsi="宋体"/>
                <w:sz w:val="24"/>
              </w:rPr>
            </w:pPr>
            <w:r>
              <w:rPr>
                <w:rFonts w:hint="eastAsia" w:ascii="宋体" w:hAnsi="宋体"/>
                <w:sz w:val="24"/>
              </w:rPr>
              <w:t>6</w:t>
            </w:r>
          </w:p>
        </w:tc>
      </w:tr>
      <w:tr w14:paraId="74C15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5" w:hRule="atLeast"/>
        </w:trPr>
        <w:tc>
          <w:tcPr>
            <w:tcW w:w="847" w:type="dxa"/>
            <w:vMerge w:val="continue"/>
            <w:noWrap/>
            <w:vAlign w:val="center"/>
          </w:tcPr>
          <w:p w14:paraId="7103706C">
            <w:pPr>
              <w:spacing w:line="0" w:lineRule="atLeast"/>
              <w:jc w:val="center"/>
              <w:rPr>
                <w:rFonts w:ascii="宋体" w:hAnsi="宋体"/>
                <w:sz w:val="24"/>
              </w:rPr>
            </w:pPr>
          </w:p>
        </w:tc>
        <w:tc>
          <w:tcPr>
            <w:tcW w:w="1949" w:type="dxa"/>
            <w:noWrap/>
            <w:vAlign w:val="center"/>
          </w:tcPr>
          <w:p w14:paraId="2BFCE535">
            <w:pPr>
              <w:spacing w:line="0" w:lineRule="atLeast"/>
              <w:jc w:val="center"/>
              <w:rPr>
                <w:rFonts w:ascii="宋体" w:hAnsi="宋体"/>
                <w:sz w:val="24"/>
              </w:rPr>
            </w:pPr>
            <w:r>
              <w:rPr>
                <w:rFonts w:hint="eastAsia" w:ascii="宋体" w:hAnsi="宋体"/>
                <w:sz w:val="24"/>
              </w:rPr>
              <w:t>分项服务名称</w:t>
            </w:r>
          </w:p>
        </w:tc>
        <w:tc>
          <w:tcPr>
            <w:tcW w:w="1118" w:type="dxa"/>
            <w:noWrap/>
            <w:vAlign w:val="center"/>
          </w:tcPr>
          <w:p w14:paraId="1FF1F367">
            <w:pPr>
              <w:spacing w:line="0" w:lineRule="atLeast"/>
              <w:jc w:val="center"/>
              <w:rPr>
                <w:rFonts w:ascii="宋体" w:hAnsi="宋体"/>
                <w:sz w:val="24"/>
              </w:rPr>
            </w:pPr>
            <w:r>
              <w:rPr>
                <w:rFonts w:hint="eastAsia" w:ascii="宋体" w:hAnsi="宋体"/>
                <w:sz w:val="24"/>
              </w:rPr>
              <w:t>服务期</w:t>
            </w:r>
          </w:p>
        </w:tc>
        <w:tc>
          <w:tcPr>
            <w:tcW w:w="825" w:type="dxa"/>
            <w:noWrap/>
            <w:vAlign w:val="center"/>
          </w:tcPr>
          <w:p w14:paraId="20138565">
            <w:pPr>
              <w:spacing w:line="0" w:lineRule="atLeast"/>
              <w:jc w:val="center"/>
              <w:rPr>
                <w:rFonts w:ascii="宋体" w:hAnsi="宋体"/>
                <w:sz w:val="24"/>
              </w:rPr>
            </w:pPr>
            <w:r>
              <w:rPr>
                <w:rFonts w:hint="eastAsia" w:ascii="宋体" w:hAnsi="宋体"/>
                <w:sz w:val="24"/>
              </w:rPr>
              <w:t>分项单位</w:t>
            </w:r>
          </w:p>
        </w:tc>
        <w:tc>
          <w:tcPr>
            <w:tcW w:w="1286" w:type="dxa"/>
            <w:noWrap/>
            <w:vAlign w:val="center"/>
          </w:tcPr>
          <w:p w14:paraId="27F13867">
            <w:pPr>
              <w:spacing w:line="0" w:lineRule="atLeast"/>
              <w:jc w:val="center"/>
              <w:rPr>
                <w:rFonts w:ascii="宋体" w:hAnsi="宋体"/>
                <w:sz w:val="24"/>
              </w:rPr>
            </w:pPr>
            <w:r>
              <w:rPr>
                <w:rFonts w:hint="eastAsia" w:ascii="宋体" w:hAnsi="宋体"/>
                <w:sz w:val="24"/>
              </w:rPr>
              <w:t>数量</w:t>
            </w:r>
          </w:p>
        </w:tc>
        <w:tc>
          <w:tcPr>
            <w:tcW w:w="1730" w:type="dxa"/>
            <w:noWrap/>
            <w:vAlign w:val="center"/>
          </w:tcPr>
          <w:p w14:paraId="6C0D908C">
            <w:pPr>
              <w:spacing w:line="0" w:lineRule="atLeast"/>
              <w:jc w:val="center"/>
              <w:rPr>
                <w:rFonts w:ascii="宋体" w:hAnsi="宋体"/>
                <w:sz w:val="24"/>
              </w:rPr>
            </w:pPr>
            <w:r>
              <w:rPr>
                <w:rFonts w:hint="eastAsia" w:ascii="宋体" w:hAnsi="宋体"/>
                <w:sz w:val="24"/>
              </w:rPr>
              <w:t>分项</w:t>
            </w:r>
          </w:p>
          <w:p w14:paraId="5F6F2F7D">
            <w:pPr>
              <w:spacing w:line="0" w:lineRule="atLeast"/>
              <w:jc w:val="center"/>
              <w:rPr>
                <w:rFonts w:ascii="宋体" w:hAnsi="宋体"/>
                <w:sz w:val="24"/>
              </w:rPr>
            </w:pPr>
            <w:r>
              <w:rPr>
                <w:rFonts w:hint="eastAsia" w:ascii="宋体" w:hAnsi="宋体"/>
                <w:sz w:val="24"/>
              </w:rPr>
              <w:t>单价（元）</w:t>
            </w:r>
          </w:p>
        </w:tc>
        <w:tc>
          <w:tcPr>
            <w:tcW w:w="1922" w:type="dxa"/>
            <w:noWrap/>
            <w:vAlign w:val="center"/>
          </w:tcPr>
          <w:p w14:paraId="477DA627">
            <w:pPr>
              <w:spacing w:line="0" w:lineRule="atLeast"/>
              <w:jc w:val="center"/>
              <w:rPr>
                <w:rFonts w:ascii="宋体" w:hAnsi="宋体"/>
                <w:sz w:val="24"/>
              </w:rPr>
            </w:pPr>
            <w:r>
              <w:rPr>
                <w:rFonts w:hint="eastAsia" w:ascii="宋体" w:hAnsi="宋体"/>
                <w:sz w:val="24"/>
              </w:rPr>
              <w:t>分项</w:t>
            </w:r>
          </w:p>
          <w:p w14:paraId="3A5BF48B">
            <w:pPr>
              <w:spacing w:line="0" w:lineRule="atLeast"/>
              <w:jc w:val="center"/>
              <w:rPr>
                <w:rFonts w:ascii="宋体" w:hAnsi="宋体"/>
                <w:sz w:val="24"/>
              </w:rPr>
            </w:pPr>
            <w:r>
              <w:rPr>
                <w:rFonts w:hint="eastAsia" w:ascii="宋体" w:hAnsi="宋体"/>
                <w:sz w:val="24"/>
              </w:rPr>
              <w:t>总价（元）</w:t>
            </w:r>
          </w:p>
        </w:tc>
      </w:tr>
      <w:tr w14:paraId="5F85F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4" w:hRule="atLeast"/>
        </w:trPr>
        <w:tc>
          <w:tcPr>
            <w:tcW w:w="847" w:type="dxa"/>
            <w:noWrap/>
            <w:vAlign w:val="center"/>
          </w:tcPr>
          <w:p w14:paraId="377ABF2C">
            <w:pPr>
              <w:spacing w:line="0" w:lineRule="atLeast"/>
              <w:jc w:val="center"/>
              <w:rPr>
                <w:rFonts w:ascii="宋体" w:hAnsi="宋体"/>
                <w:sz w:val="24"/>
              </w:rPr>
            </w:pPr>
            <w:r>
              <w:rPr>
                <w:rFonts w:hint="eastAsia" w:ascii="宋体" w:hAnsi="宋体"/>
                <w:sz w:val="24"/>
              </w:rPr>
              <w:t>1</w:t>
            </w:r>
          </w:p>
        </w:tc>
        <w:tc>
          <w:tcPr>
            <w:tcW w:w="1949" w:type="dxa"/>
            <w:noWrap/>
            <w:vAlign w:val="center"/>
          </w:tcPr>
          <w:p w14:paraId="7B04DC9D">
            <w:pPr>
              <w:widowControl/>
              <w:adjustRightInd w:val="0"/>
              <w:snapToGrid w:val="0"/>
              <w:jc w:val="center"/>
              <w:rPr>
                <w:rFonts w:ascii="宋体" w:hAnsi="宋体" w:cs="宋体"/>
                <w:bCs/>
                <w:sz w:val="22"/>
              </w:rPr>
            </w:pPr>
            <w:r>
              <w:rPr>
                <w:rFonts w:hint="eastAsia" w:ascii="宋体" w:hAnsi="宋体" w:cs="宋体"/>
                <w:sz w:val="24"/>
              </w:rPr>
              <w:t>重点水产品（鳊鱼、鲫鱼、黄鳝、牛蛙、泥鳅、大口黑鲈、乌鳢等）</w:t>
            </w:r>
          </w:p>
        </w:tc>
        <w:tc>
          <w:tcPr>
            <w:tcW w:w="1118" w:type="dxa"/>
            <w:vMerge w:val="restart"/>
            <w:noWrap/>
            <w:vAlign w:val="center"/>
          </w:tcPr>
          <w:p w14:paraId="049066E1">
            <w:pPr>
              <w:spacing w:line="0" w:lineRule="atLeast"/>
              <w:jc w:val="center"/>
              <w:rPr>
                <w:rFonts w:ascii="宋体" w:hAnsi="宋体"/>
                <w:sz w:val="24"/>
              </w:rPr>
            </w:pPr>
            <w:r>
              <w:rPr>
                <w:rFonts w:hint="eastAsia" w:ascii="宋体" w:hAnsi="宋体"/>
                <w:sz w:val="24"/>
              </w:rPr>
              <w:t>自本合同签订之日起52周内完成。</w:t>
            </w:r>
          </w:p>
        </w:tc>
        <w:tc>
          <w:tcPr>
            <w:tcW w:w="825" w:type="dxa"/>
            <w:noWrap/>
            <w:vAlign w:val="center"/>
          </w:tcPr>
          <w:p w14:paraId="32C77252">
            <w:pPr>
              <w:spacing w:line="0" w:lineRule="atLeast"/>
              <w:jc w:val="center"/>
              <w:rPr>
                <w:rFonts w:ascii="宋体" w:hAnsi="宋体"/>
                <w:sz w:val="24"/>
              </w:rPr>
            </w:pPr>
            <w:r>
              <w:rPr>
                <w:rFonts w:hint="eastAsia" w:ascii="宋体" w:hAnsi="宋体"/>
                <w:sz w:val="24"/>
              </w:rPr>
              <w:t>批</w:t>
            </w:r>
          </w:p>
        </w:tc>
        <w:tc>
          <w:tcPr>
            <w:tcW w:w="1286" w:type="dxa"/>
            <w:shd w:val="clear" w:color="auto" w:fill="auto"/>
            <w:noWrap/>
            <w:vAlign w:val="center"/>
          </w:tcPr>
          <w:p w14:paraId="2879908D">
            <w:pPr>
              <w:keepNext w:val="0"/>
              <w:keepLines w:val="0"/>
              <w:widowControl/>
              <w:suppressLineNumbers w:val="0"/>
              <w:jc w:val="center"/>
              <w:textAlignment w:val="center"/>
              <w:rPr>
                <w:rFonts w:hint="default" w:ascii="宋体" w:hAnsi="宋体" w:eastAsia="宋体" w:cs="宋体"/>
                <w:bCs/>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25000</w:t>
            </w:r>
          </w:p>
        </w:tc>
        <w:tc>
          <w:tcPr>
            <w:tcW w:w="1730" w:type="dxa"/>
            <w:noWrap/>
            <w:vAlign w:val="center"/>
          </w:tcPr>
          <w:p w14:paraId="5AAB461D">
            <w:pPr>
              <w:spacing w:line="0" w:lineRule="atLeast"/>
              <w:jc w:val="center"/>
              <w:rPr>
                <w:rFonts w:ascii="宋体" w:hAnsi="宋体"/>
                <w:sz w:val="24"/>
              </w:rPr>
            </w:pPr>
          </w:p>
        </w:tc>
        <w:tc>
          <w:tcPr>
            <w:tcW w:w="1922" w:type="dxa"/>
            <w:noWrap/>
            <w:vAlign w:val="center"/>
          </w:tcPr>
          <w:p w14:paraId="77ADBF04">
            <w:pPr>
              <w:spacing w:line="0" w:lineRule="atLeast"/>
              <w:jc w:val="center"/>
              <w:rPr>
                <w:rFonts w:ascii="宋体" w:hAnsi="宋体"/>
                <w:sz w:val="24"/>
              </w:rPr>
            </w:pPr>
          </w:p>
        </w:tc>
      </w:tr>
      <w:tr w14:paraId="5677F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0" w:hRule="atLeast"/>
        </w:trPr>
        <w:tc>
          <w:tcPr>
            <w:tcW w:w="847" w:type="dxa"/>
            <w:noWrap/>
            <w:vAlign w:val="center"/>
          </w:tcPr>
          <w:p w14:paraId="32AD859B">
            <w:pPr>
              <w:spacing w:line="0" w:lineRule="atLeast"/>
              <w:jc w:val="center"/>
              <w:rPr>
                <w:rFonts w:ascii="宋体" w:hAnsi="宋体"/>
                <w:sz w:val="24"/>
              </w:rPr>
            </w:pPr>
            <w:r>
              <w:rPr>
                <w:rFonts w:hint="eastAsia" w:ascii="宋体" w:hAnsi="宋体"/>
                <w:sz w:val="24"/>
              </w:rPr>
              <w:t>2</w:t>
            </w:r>
          </w:p>
        </w:tc>
        <w:tc>
          <w:tcPr>
            <w:tcW w:w="1949" w:type="dxa"/>
            <w:noWrap/>
            <w:vAlign w:val="center"/>
          </w:tcPr>
          <w:p w14:paraId="45EB6047">
            <w:pPr>
              <w:widowControl/>
              <w:adjustRightInd w:val="0"/>
              <w:snapToGrid w:val="0"/>
              <w:jc w:val="center"/>
              <w:rPr>
                <w:rFonts w:ascii="宋体" w:hAnsi="宋体"/>
                <w:sz w:val="24"/>
              </w:rPr>
            </w:pPr>
            <w:r>
              <w:rPr>
                <w:rFonts w:hint="eastAsia" w:ascii="宋体" w:hAnsi="宋体" w:cs="宋体"/>
                <w:sz w:val="24"/>
              </w:rPr>
              <w:t>三菜（豇豆、芹菜、辣椒等）</w:t>
            </w:r>
          </w:p>
        </w:tc>
        <w:tc>
          <w:tcPr>
            <w:tcW w:w="1118" w:type="dxa"/>
            <w:vMerge w:val="continue"/>
            <w:noWrap/>
            <w:vAlign w:val="center"/>
          </w:tcPr>
          <w:p w14:paraId="71D95CE1">
            <w:pPr>
              <w:spacing w:line="0" w:lineRule="atLeast"/>
              <w:jc w:val="center"/>
              <w:rPr>
                <w:rFonts w:ascii="宋体" w:hAnsi="宋体"/>
                <w:sz w:val="24"/>
              </w:rPr>
            </w:pPr>
          </w:p>
        </w:tc>
        <w:tc>
          <w:tcPr>
            <w:tcW w:w="825" w:type="dxa"/>
            <w:noWrap/>
            <w:vAlign w:val="center"/>
          </w:tcPr>
          <w:p w14:paraId="3ACD22D1">
            <w:pPr>
              <w:spacing w:line="0" w:lineRule="atLeast"/>
              <w:jc w:val="center"/>
              <w:rPr>
                <w:rFonts w:ascii="宋体" w:hAnsi="宋体"/>
                <w:sz w:val="24"/>
              </w:rPr>
            </w:pPr>
            <w:r>
              <w:rPr>
                <w:rFonts w:hint="eastAsia" w:ascii="宋体" w:hAnsi="宋体"/>
                <w:sz w:val="24"/>
              </w:rPr>
              <w:t>批</w:t>
            </w:r>
          </w:p>
        </w:tc>
        <w:tc>
          <w:tcPr>
            <w:tcW w:w="1286" w:type="dxa"/>
            <w:shd w:val="clear" w:color="auto" w:fill="auto"/>
            <w:noWrap/>
            <w:vAlign w:val="center"/>
          </w:tcPr>
          <w:p w14:paraId="6ABD8829">
            <w:pPr>
              <w:keepNext w:val="0"/>
              <w:keepLines w:val="0"/>
              <w:widowControl/>
              <w:suppressLineNumbers w:val="0"/>
              <w:jc w:val="center"/>
              <w:textAlignment w:val="center"/>
              <w:rPr>
                <w:rFonts w:hint="default" w:ascii="宋体" w:hAnsi="宋体" w:eastAsia="宋体" w:cs="宋体"/>
                <w:bCs/>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7500</w:t>
            </w:r>
          </w:p>
        </w:tc>
        <w:tc>
          <w:tcPr>
            <w:tcW w:w="1730" w:type="dxa"/>
            <w:noWrap/>
            <w:vAlign w:val="center"/>
          </w:tcPr>
          <w:p w14:paraId="041D7DBE">
            <w:pPr>
              <w:spacing w:line="0" w:lineRule="atLeast"/>
              <w:jc w:val="center"/>
              <w:rPr>
                <w:rFonts w:ascii="宋体" w:hAnsi="宋体"/>
                <w:sz w:val="24"/>
              </w:rPr>
            </w:pPr>
          </w:p>
        </w:tc>
        <w:tc>
          <w:tcPr>
            <w:tcW w:w="1922" w:type="dxa"/>
            <w:noWrap/>
            <w:vAlign w:val="center"/>
          </w:tcPr>
          <w:p w14:paraId="7A6D8443">
            <w:pPr>
              <w:spacing w:line="0" w:lineRule="atLeast"/>
              <w:jc w:val="center"/>
              <w:rPr>
                <w:rFonts w:ascii="宋体" w:hAnsi="宋体"/>
                <w:sz w:val="24"/>
              </w:rPr>
            </w:pPr>
          </w:p>
        </w:tc>
      </w:tr>
      <w:tr w14:paraId="5B6A9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0" w:hRule="atLeast"/>
        </w:trPr>
        <w:tc>
          <w:tcPr>
            <w:tcW w:w="847" w:type="dxa"/>
            <w:noWrap/>
            <w:vAlign w:val="center"/>
          </w:tcPr>
          <w:p w14:paraId="547B4B85">
            <w:pPr>
              <w:spacing w:line="0" w:lineRule="atLeast"/>
              <w:jc w:val="center"/>
              <w:rPr>
                <w:rFonts w:ascii="宋体" w:hAnsi="宋体"/>
                <w:sz w:val="24"/>
              </w:rPr>
            </w:pPr>
            <w:r>
              <w:rPr>
                <w:rFonts w:hint="eastAsia" w:ascii="宋体" w:hAnsi="宋体"/>
                <w:sz w:val="24"/>
              </w:rPr>
              <w:t>3</w:t>
            </w:r>
          </w:p>
        </w:tc>
        <w:tc>
          <w:tcPr>
            <w:tcW w:w="1949" w:type="dxa"/>
            <w:noWrap/>
            <w:vAlign w:val="center"/>
          </w:tcPr>
          <w:p w14:paraId="190D1877">
            <w:pPr>
              <w:widowControl/>
              <w:adjustRightInd w:val="0"/>
              <w:snapToGrid w:val="0"/>
              <w:jc w:val="center"/>
              <w:rPr>
                <w:rFonts w:ascii="宋体" w:hAnsi="宋体"/>
                <w:sz w:val="24"/>
              </w:rPr>
            </w:pPr>
            <w:r>
              <w:rPr>
                <w:rFonts w:hint="eastAsia" w:ascii="宋体" w:hAnsi="宋体" w:cs="宋体"/>
                <w:sz w:val="24"/>
              </w:rPr>
              <w:t>两蛋（鹌鹑蛋、鸡蛋等）</w:t>
            </w:r>
          </w:p>
        </w:tc>
        <w:tc>
          <w:tcPr>
            <w:tcW w:w="1118" w:type="dxa"/>
            <w:vMerge w:val="continue"/>
            <w:noWrap/>
            <w:vAlign w:val="center"/>
          </w:tcPr>
          <w:p w14:paraId="26705D55">
            <w:pPr>
              <w:spacing w:line="0" w:lineRule="atLeast"/>
              <w:jc w:val="center"/>
              <w:rPr>
                <w:rFonts w:ascii="宋体" w:hAnsi="宋体"/>
                <w:sz w:val="24"/>
              </w:rPr>
            </w:pPr>
          </w:p>
        </w:tc>
        <w:tc>
          <w:tcPr>
            <w:tcW w:w="825" w:type="dxa"/>
            <w:noWrap/>
            <w:vAlign w:val="center"/>
          </w:tcPr>
          <w:p w14:paraId="3FB94006">
            <w:pPr>
              <w:spacing w:line="0" w:lineRule="atLeast"/>
              <w:jc w:val="center"/>
              <w:rPr>
                <w:rFonts w:ascii="宋体" w:hAnsi="宋体"/>
                <w:sz w:val="24"/>
              </w:rPr>
            </w:pPr>
            <w:r>
              <w:rPr>
                <w:rFonts w:hint="eastAsia" w:ascii="宋体" w:hAnsi="宋体"/>
                <w:sz w:val="24"/>
              </w:rPr>
              <w:t>批</w:t>
            </w:r>
          </w:p>
        </w:tc>
        <w:tc>
          <w:tcPr>
            <w:tcW w:w="1286" w:type="dxa"/>
            <w:shd w:val="clear" w:color="auto" w:fill="auto"/>
            <w:noWrap/>
            <w:vAlign w:val="center"/>
          </w:tcPr>
          <w:p w14:paraId="40D9FE39">
            <w:pPr>
              <w:keepNext w:val="0"/>
              <w:keepLines w:val="0"/>
              <w:widowControl/>
              <w:suppressLineNumbers w:val="0"/>
              <w:jc w:val="center"/>
              <w:textAlignment w:val="center"/>
              <w:rPr>
                <w:rFonts w:hint="default" w:ascii="宋体" w:hAnsi="宋体" w:eastAsia="宋体" w:cs="宋体"/>
                <w:bCs/>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2000</w:t>
            </w:r>
          </w:p>
        </w:tc>
        <w:tc>
          <w:tcPr>
            <w:tcW w:w="1730" w:type="dxa"/>
            <w:noWrap/>
            <w:vAlign w:val="center"/>
          </w:tcPr>
          <w:p w14:paraId="05FA9499">
            <w:pPr>
              <w:spacing w:line="0" w:lineRule="atLeast"/>
              <w:jc w:val="center"/>
              <w:rPr>
                <w:rFonts w:ascii="宋体" w:hAnsi="宋体"/>
                <w:sz w:val="24"/>
              </w:rPr>
            </w:pPr>
          </w:p>
        </w:tc>
        <w:tc>
          <w:tcPr>
            <w:tcW w:w="1922" w:type="dxa"/>
            <w:noWrap/>
            <w:vAlign w:val="center"/>
          </w:tcPr>
          <w:p w14:paraId="7923546C">
            <w:pPr>
              <w:spacing w:line="0" w:lineRule="atLeast"/>
              <w:jc w:val="center"/>
              <w:rPr>
                <w:rFonts w:ascii="宋体" w:hAnsi="宋体"/>
                <w:sz w:val="24"/>
              </w:rPr>
            </w:pPr>
          </w:p>
        </w:tc>
      </w:tr>
      <w:tr w14:paraId="4054F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0" w:hRule="atLeast"/>
        </w:trPr>
        <w:tc>
          <w:tcPr>
            <w:tcW w:w="847" w:type="dxa"/>
            <w:noWrap/>
            <w:vAlign w:val="center"/>
          </w:tcPr>
          <w:p w14:paraId="245C24ED">
            <w:pPr>
              <w:spacing w:line="0" w:lineRule="atLeast"/>
              <w:jc w:val="center"/>
              <w:rPr>
                <w:rFonts w:ascii="宋体" w:hAnsi="宋体"/>
                <w:sz w:val="24"/>
              </w:rPr>
            </w:pPr>
            <w:r>
              <w:rPr>
                <w:rFonts w:hint="eastAsia" w:ascii="宋体" w:hAnsi="宋体"/>
                <w:sz w:val="24"/>
              </w:rPr>
              <w:t>4</w:t>
            </w:r>
          </w:p>
        </w:tc>
        <w:tc>
          <w:tcPr>
            <w:tcW w:w="1949" w:type="dxa"/>
            <w:noWrap/>
            <w:vAlign w:val="center"/>
          </w:tcPr>
          <w:p w14:paraId="7E015FE0">
            <w:pPr>
              <w:widowControl/>
              <w:adjustRightInd w:val="0"/>
              <w:snapToGrid w:val="0"/>
              <w:jc w:val="center"/>
              <w:rPr>
                <w:rFonts w:hint="eastAsia" w:ascii="宋体" w:hAnsi="宋体" w:eastAsia="宋体" w:cs="宋体"/>
                <w:sz w:val="24"/>
                <w:lang w:val="en-US" w:eastAsia="zh-CN"/>
              </w:rPr>
            </w:pPr>
            <w:r>
              <w:rPr>
                <w:rFonts w:hint="eastAsia" w:ascii="宋体" w:hAnsi="宋体" w:cs="宋体"/>
                <w:sz w:val="24"/>
              </w:rPr>
              <w:t>果蔬</w:t>
            </w:r>
            <w:r>
              <w:rPr>
                <w:rFonts w:hint="eastAsia" w:ascii="宋体" w:hAnsi="宋体" w:cs="宋体"/>
                <w:sz w:val="24"/>
                <w:lang w:val="en-US" w:eastAsia="zh-CN"/>
              </w:rPr>
              <w:t>等</w:t>
            </w:r>
          </w:p>
        </w:tc>
        <w:tc>
          <w:tcPr>
            <w:tcW w:w="1118" w:type="dxa"/>
            <w:vMerge w:val="continue"/>
            <w:noWrap/>
            <w:vAlign w:val="center"/>
          </w:tcPr>
          <w:p w14:paraId="15C81508">
            <w:pPr>
              <w:spacing w:line="0" w:lineRule="atLeast"/>
              <w:jc w:val="center"/>
              <w:rPr>
                <w:rFonts w:ascii="宋体" w:hAnsi="宋体"/>
                <w:sz w:val="24"/>
              </w:rPr>
            </w:pPr>
          </w:p>
        </w:tc>
        <w:tc>
          <w:tcPr>
            <w:tcW w:w="825" w:type="dxa"/>
            <w:noWrap/>
            <w:vAlign w:val="center"/>
          </w:tcPr>
          <w:p w14:paraId="37DB82BD">
            <w:pPr>
              <w:spacing w:line="0" w:lineRule="atLeast"/>
              <w:jc w:val="center"/>
              <w:rPr>
                <w:rFonts w:ascii="宋体" w:hAnsi="宋体"/>
                <w:sz w:val="24"/>
              </w:rPr>
            </w:pPr>
            <w:r>
              <w:rPr>
                <w:rFonts w:hint="eastAsia" w:ascii="宋体" w:hAnsi="宋体"/>
                <w:sz w:val="24"/>
              </w:rPr>
              <w:t>批</w:t>
            </w:r>
          </w:p>
        </w:tc>
        <w:tc>
          <w:tcPr>
            <w:tcW w:w="1286" w:type="dxa"/>
            <w:shd w:val="clear" w:color="auto" w:fill="auto"/>
            <w:noWrap/>
            <w:vAlign w:val="center"/>
          </w:tcPr>
          <w:p w14:paraId="7B33544A">
            <w:pPr>
              <w:keepNext w:val="0"/>
              <w:keepLines w:val="0"/>
              <w:widowControl/>
              <w:suppressLineNumbers w:val="0"/>
              <w:jc w:val="center"/>
              <w:textAlignment w:val="center"/>
              <w:rPr>
                <w:rFonts w:hint="default" w:ascii="宋体" w:hAnsi="宋体" w:eastAsia="宋体" w:cs="宋体"/>
                <w:bCs/>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25000</w:t>
            </w:r>
          </w:p>
        </w:tc>
        <w:tc>
          <w:tcPr>
            <w:tcW w:w="1730" w:type="dxa"/>
            <w:noWrap/>
            <w:vAlign w:val="center"/>
          </w:tcPr>
          <w:p w14:paraId="7B358D98">
            <w:pPr>
              <w:spacing w:line="0" w:lineRule="atLeast"/>
              <w:jc w:val="center"/>
              <w:rPr>
                <w:rFonts w:ascii="宋体" w:hAnsi="宋体"/>
                <w:sz w:val="24"/>
              </w:rPr>
            </w:pPr>
          </w:p>
        </w:tc>
        <w:tc>
          <w:tcPr>
            <w:tcW w:w="1922" w:type="dxa"/>
            <w:noWrap/>
            <w:vAlign w:val="center"/>
          </w:tcPr>
          <w:p w14:paraId="50860404">
            <w:pPr>
              <w:spacing w:line="0" w:lineRule="atLeast"/>
              <w:jc w:val="center"/>
              <w:rPr>
                <w:rFonts w:ascii="宋体" w:hAnsi="宋体"/>
                <w:sz w:val="24"/>
              </w:rPr>
            </w:pPr>
          </w:p>
        </w:tc>
      </w:tr>
      <w:tr w14:paraId="46503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0" w:hRule="atLeast"/>
        </w:trPr>
        <w:tc>
          <w:tcPr>
            <w:tcW w:w="847" w:type="dxa"/>
            <w:noWrap/>
            <w:vAlign w:val="center"/>
          </w:tcPr>
          <w:p w14:paraId="1725584C">
            <w:pPr>
              <w:spacing w:line="0" w:lineRule="atLeast"/>
              <w:jc w:val="center"/>
              <w:rPr>
                <w:rFonts w:ascii="宋体" w:hAnsi="宋体"/>
                <w:sz w:val="24"/>
              </w:rPr>
            </w:pPr>
            <w:r>
              <w:rPr>
                <w:rFonts w:hint="eastAsia" w:ascii="宋体" w:hAnsi="宋体"/>
                <w:sz w:val="24"/>
              </w:rPr>
              <w:t>5</w:t>
            </w:r>
          </w:p>
        </w:tc>
        <w:tc>
          <w:tcPr>
            <w:tcW w:w="1949" w:type="dxa"/>
            <w:noWrap/>
            <w:vAlign w:val="center"/>
          </w:tcPr>
          <w:p w14:paraId="0EB91156">
            <w:pPr>
              <w:widowControl/>
              <w:adjustRightInd w:val="0"/>
              <w:snapToGrid w:val="0"/>
              <w:jc w:val="center"/>
              <w:rPr>
                <w:rFonts w:ascii="宋体" w:hAnsi="宋体" w:cs="宋体"/>
                <w:sz w:val="24"/>
              </w:rPr>
            </w:pPr>
            <w:r>
              <w:rPr>
                <w:rFonts w:hint="eastAsia" w:ascii="宋体" w:hAnsi="宋体" w:cs="宋体"/>
                <w:sz w:val="24"/>
              </w:rPr>
              <w:t>畜禽肉</w:t>
            </w:r>
          </w:p>
        </w:tc>
        <w:tc>
          <w:tcPr>
            <w:tcW w:w="1118" w:type="dxa"/>
            <w:vMerge w:val="continue"/>
            <w:noWrap/>
            <w:vAlign w:val="center"/>
          </w:tcPr>
          <w:p w14:paraId="6CDACCC8">
            <w:pPr>
              <w:spacing w:line="0" w:lineRule="atLeast"/>
              <w:jc w:val="center"/>
              <w:rPr>
                <w:rFonts w:ascii="宋体" w:hAnsi="宋体"/>
                <w:sz w:val="24"/>
              </w:rPr>
            </w:pPr>
          </w:p>
        </w:tc>
        <w:tc>
          <w:tcPr>
            <w:tcW w:w="825" w:type="dxa"/>
            <w:noWrap/>
            <w:vAlign w:val="center"/>
          </w:tcPr>
          <w:p w14:paraId="20EF0BDF">
            <w:pPr>
              <w:spacing w:line="0" w:lineRule="atLeast"/>
              <w:jc w:val="center"/>
              <w:rPr>
                <w:rFonts w:ascii="宋体" w:hAnsi="宋体"/>
                <w:sz w:val="24"/>
              </w:rPr>
            </w:pPr>
            <w:r>
              <w:rPr>
                <w:rFonts w:hint="eastAsia" w:ascii="宋体" w:hAnsi="宋体"/>
                <w:sz w:val="24"/>
              </w:rPr>
              <w:t>批</w:t>
            </w:r>
          </w:p>
        </w:tc>
        <w:tc>
          <w:tcPr>
            <w:tcW w:w="1286" w:type="dxa"/>
            <w:shd w:val="clear" w:color="auto" w:fill="auto"/>
            <w:noWrap/>
            <w:vAlign w:val="center"/>
          </w:tcPr>
          <w:p w14:paraId="0DA71D31">
            <w:pPr>
              <w:keepNext w:val="0"/>
              <w:keepLines w:val="0"/>
              <w:widowControl/>
              <w:suppressLineNumbers w:val="0"/>
              <w:jc w:val="center"/>
              <w:textAlignment w:val="center"/>
              <w:rPr>
                <w:rFonts w:hint="default" w:ascii="宋体" w:hAnsi="宋体" w:eastAsia="宋体" w:cs="宋体"/>
                <w:bCs/>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12000</w:t>
            </w:r>
          </w:p>
        </w:tc>
        <w:tc>
          <w:tcPr>
            <w:tcW w:w="1730" w:type="dxa"/>
            <w:noWrap/>
            <w:vAlign w:val="center"/>
          </w:tcPr>
          <w:p w14:paraId="5F179699">
            <w:pPr>
              <w:spacing w:line="0" w:lineRule="atLeast"/>
              <w:jc w:val="center"/>
              <w:rPr>
                <w:rFonts w:ascii="宋体" w:hAnsi="宋体"/>
                <w:sz w:val="24"/>
              </w:rPr>
            </w:pPr>
          </w:p>
        </w:tc>
        <w:tc>
          <w:tcPr>
            <w:tcW w:w="1922" w:type="dxa"/>
            <w:noWrap/>
            <w:vAlign w:val="center"/>
          </w:tcPr>
          <w:p w14:paraId="26F95575">
            <w:pPr>
              <w:spacing w:line="0" w:lineRule="atLeast"/>
              <w:jc w:val="center"/>
              <w:rPr>
                <w:rFonts w:ascii="宋体" w:hAnsi="宋体"/>
                <w:sz w:val="24"/>
              </w:rPr>
            </w:pPr>
          </w:p>
        </w:tc>
      </w:tr>
      <w:tr w14:paraId="4AB87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5" w:hRule="atLeast"/>
        </w:trPr>
        <w:tc>
          <w:tcPr>
            <w:tcW w:w="7755" w:type="dxa"/>
            <w:gridSpan w:val="6"/>
            <w:noWrap/>
            <w:vAlign w:val="center"/>
          </w:tcPr>
          <w:p w14:paraId="0E3D4F47">
            <w:pPr>
              <w:spacing w:line="0" w:lineRule="atLeast"/>
              <w:jc w:val="center"/>
              <w:rPr>
                <w:rFonts w:ascii="宋体" w:hAnsi="宋体"/>
                <w:sz w:val="24"/>
              </w:rPr>
            </w:pPr>
            <w:r>
              <w:rPr>
                <w:rFonts w:hint="eastAsia" w:ascii="宋体" w:hAnsi="宋体"/>
                <w:sz w:val="24"/>
              </w:rPr>
              <w:t>总报价（人民币：</w:t>
            </w:r>
            <w:r>
              <w:rPr>
                <w:rFonts w:hint="eastAsia" w:ascii="宋体" w:hAnsi="宋体"/>
                <w:sz w:val="24"/>
                <w:u w:val="single"/>
              </w:rPr>
              <w:t xml:space="preserve">               </w:t>
            </w:r>
            <w:r>
              <w:rPr>
                <w:rFonts w:hint="eastAsia" w:ascii="宋体" w:hAnsi="宋体"/>
                <w:sz w:val="24"/>
              </w:rPr>
              <w:t>元）</w:t>
            </w:r>
          </w:p>
        </w:tc>
        <w:tc>
          <w:tcPr>
            <w:tcW w:w="1922" w:type="dxa"/>
            <w:noWrap/>
          </w:tcPr>
          <w:p w14:paraId="6117021A">
            <w:pPr>
              <w:spacing w:line="0" w:lineRule="atLeast"/>
              <w:rPr>
                <w:rFonts w:ascii="宋体" w:hAnsi="宋体"/>
                <w:sz w:val="24"/>
              </w:rPr>
            </w:pPr>
          </w:p>
        </w:tc>
      </w:tr>
    </w:tbl>
    <w:p w14:paraId="220077F8">
      <w:pPr>
        <w:pStyle w:val="6"/>
        <w:spacing w:line="440" w:lineRule="exact"/>
        <w:ind w:firstLine="480"/>
        <w:rPr>
          <w:rFonts w:ascii="宋体" w:hAnsi="宋体" w:cs="宋体"/>
          <w:sz w:val="24"/>
        </w:rPr>
      </w:pPr>
      <w:r>
        <w:rPr>
          <w:rFonts w:hint="eastAsia" w:ascii="宋体" w:hAnsi="宋体" w:cs="宋体"/>
          <w:sz w:val="24"/>
        </w:rPr>
        <w:t>注：1.抽检品种及抽检项目从抽检实施细则中筛选，涉及的抽检品种、检验项目与《国家食品安全监督抽检实施细则（最新版）》中要求的项目和方法一致，需检测全部参数。</w:t>
      </w:r>
    </w:p>
    <w:p w14:paraId="070730DA">
      <w:pPr>
        <w:spacing w:line="480" w:lineRule="exact"/>
        <w:ind w:firstLine="480"/>
        <w:rPr>
          <w:rFonts w:ascii="宋体" w:hAnsi="宋体"/>
          <w:sz w:val="24"/>
        </w:rPr>
      </w:pPr>
      <w:r>
        <w:rPr>
          <w:rFonts w:hint="eastAsia" w:ascii="宋体" w:hAnsi="宋体" w:cs="宋体"/>
          <w:sz w:val="24"/>
        </w:rPr>
        <w:t>2.</w:t>
      </w:r>
      <w:r>
        <w:rPr>
          <w:rFonts w:hint="eastAsia" w:ascii="宋体" w:hAnsi="宋体"/>
          <w:sz w:val="24"/>
        </w:rPr>
        <w:t xml:space="preserve"> 磋商报价采用总承包方式，投标人的“总报价”应包括完成招标范围内所有工作内容所需支付的各项金额的一年服务期总和，</w:t>
      </w:r>
      <w:r>
        <w:rPr>
          <w:rFonts w:hint="eastAsia" w:ascii="宋体" w:hAnsi="宋体" w:cs="宋体"/>
          <w:sz w:val="24"/>
        </w:rPr>
        <w:t>包括(但不限于)：</w:t>
      </w:r>
      <w:r>
        <w:rPr>
          <w:rFonts w:hint="eastAsia" w:ascii="宋体" w:hAnsi="宋体"/>
          <w:sz w:val="24"/>
        </w:rPr>
        <w:t>供应商为完成本项目采购内容所必须的质量保证与技术支持、采用、分析、报告、检测、培训、软件、仪器设备投入及售后服务；支付给员工的工资和国家强制缴纳的各种社会保障资金，以及供应商认为需要的其他费用等。合同总金额还包括了供应商的所有人员工资、劳务支出、配套费用、保险、税费及服务相关等所发生的全部费用以及乙方企业利润、税金、招标代理服务费和政策性文件规定及合同包含的所有风险、责任等各项应有费用。同时，除非合同条款中另有规定，否则，合同总金额在合同实施期间不因市场变化因素而变动。</w:t>
      </w:r>
    </w:p>
    <w:p w14:paraId="0918A2FB">
      <w:pPr>
        <w:pStyle w:val="6"/>
        <w:spacing w:line="440" w:lineRule="exact"/>
        <w:ind w:firstLine="480"/>
        <w:rPr>
          <w:rFonts w:hint="eastAsia" w:ascii="黑体" w:hAnsi="宋体" w:eastAsia="黑体" w:cs="黑体"/>
          <w:b/>
          <w:color w:val="auto"/>
          <w:sz w:val="32"/>
          <w:szCs w:val="32"/>
          <w:highlight w:val="none"/>
        </w:rPr>
      </w:pPr>
      <w:r>
        <w:rPr>
          <w:rFonts w:hint="eastAsia" w:ascii="宋体" w:hAnsi="宋体"/>
          <w:sz w:val="24"/>
        </w:rPr>
        <w:t>3. 该表报价非本次磋商中的最后报价。</w:t>
      </w:r>
    </w:p>
    <w:p w14:paraId="0E943B44">
      <w:pPr>
        <w:pStyle w:val="16"/>
        <w:spacing w:beforeAutospacing="0" w:afterAutospacing="0"/>
        <w:jc w:val="center"/>
        <w:rPr>
          <w:color w:val="auto"/>
          <w:sz w:val="24"/>
          <w:szCs w:val="24"/>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、技术要求响应及偏离表（分包号：**）</w:t>
      </w:r>
    </w:p>
    <w:tbl>
      <w:tblPr>
        <w:tblStyle w:val="17"/>
        <w:tblW w:w="4998" w:type="pct"/>
        <w:tblCellSpacing w:w="0" w:type="dxa"/>
        <w:tblInd w:w="0" w:type="dxa"/>
        <w:tblLayout w:type="autofit"/>
        <w:tblCellMar>
          <w:top w:w="0" w:type="dxa"/>
          <w:left w:w="108" w:type="dxa"/>
          <w:bottom w:w="0" w:type="dxa"/>
          <w:right w:w="108" w:type="dxa"/>
        </w:tblCellMar>
      </w:tblPr>
      <w:tblGrid>
        <w:gridCol w:w="622"/>
        <w:gridCol w:w="3507"/>
        <w:gridCol w:w="3023"/>
        <w:gridCol w:w="1444"/>
        <w:gridCol w:w="1274"/>
      </w:tblGrid>
      <w:tr w14:paraId="794F9462">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55A2">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序号</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A9A86">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磋商文件要求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AB437">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20EBD">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4941">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证明</w:t>
            </w:r>
          </w:p>
          <w:p w14:paraId="3E1937F8">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材料</w:t>
            </w:r>
          </w:p>
        </w:tc>
      </w:tr>
      <w:tr w14:paraId="7212D7A0">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4A943">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492E5">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799D4">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EF1F9">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5014">
            <w:pPr>
              <w:pStyle w:val="16"/>
              <w:spacing w:beforeAutospacing="0" w:afterAutospacing="0"/>
              <w:jc w:val="center"/>
              <w:rPr>
                <w:color w:val="auto"/>
                <w:sz w:val="24"/>
                <w:szCs w:val="24"/>
                <w:highlight w:val="none"/>
              </w:rPr>
            </w:pPr>
            <w:r>
              <w:rPr>
                <w:color w:val="auto"/>
                <w:sz w:val="24"/>
                <w:szCs w:val="24"/>
                <w:highlight w:val="none"/>
              </w:rPr>
              <w:t> </w:t>
            </w:r>
          </w:p>
        </w:tc>
      </w:tr>
      <w:tr w14:paraId="563D828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F0802">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4EE1">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C404">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0E7DA">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4342B">
            <w:pPr>
              <w:pStyle w:val="16"/>
              <w:spacing w:beforeAutospacing="0" w:afterAutospacing="0"/>
              <w:jc w:val="center"/>
              <w:rPr>
                <w:color w:val="auto"/>
                <w:sz w:val="24"/>
                <w:szCs w:val="24"/>
                <w:highlight w:val="none"/>
              </w:rPr>
            </w:pPr>
            <w:r>
              <w:rPr>
                <w:color w:val="auto"/>
                <w:sz w:val="24"/>
                <w:szCs w:val="24"/>
                <w:highlight w:val="none"/>
              </w:rPr>
              <w:t> </w:t>
            </w:r>
          </w:p>
        </w:tc>
      </w:tr>
      <w:tr w14:paraId="30BA86FA">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7A8B5">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08372">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B876D">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BDE29">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35370">
            <w:pPr>
              <w:pStyle w:val="16"/>
              <w:spacing w:beforeAutospacing="0" w:afterAutospacing="0"/>
              <w:jc w:val="center"/>
              <w:rPr>
                <w:color w:val="auto"/>
                <w:sz w:val="24"/>
                <w:szCs w:val="24"/>
                <w:highlight w:val="none"/>
              </w:rPr>
            </w:pPr>
            <w:r>
              <w:rPr>
                <w:color w:val="auto"/>
                <w:sz w:val="24"/>
                <w:szCs w:val="24"/>
                <w:highlight w:val="none"/>
              </w:rPr>
              <w:t> </w:t>
            </w:r>
          </w:p>
        </w:tc>
      </w:tr>
      <w:tr w14:paraId="177EACC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80B8A">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54948">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CF9DE">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5A20">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9C42">
            <w:pPr>
              <w:pStyle w:val="16"/>
              <w:spacing w:beforeAutospacing="0" w:afterAutospacing="0"/>
              <w:jc w:val="center"/>
              <w:rPr>
                <w:color w:val="auto"/>
                <w:sz w:val="24"/>
                <w:szCs w:val="24"/>
                <w:highlight w:val="none"/>
              </w:rPr>
            </w:pPr>
            <w:r>
              <w:rPr>
                <w:color w:val="auto"/>
                <w:sz w:val="24"/>
                <w:szCs w:val="24"/>
                <w:highlight w:val="none"/>
              </w:rPr>
              <w:t> </w:t>
            </w:r>
          </w:p>
        </w:tc>
      </w:tr>
      <w:tr w14:paraId="734AF369">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7190F">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6334">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B990E">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BBBBF">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95BB7">
            <w:pPr>
              <w:pStyle w:val="16"/>
              <w:spacing w:beforeAutospacing="0" w:afterAutospacing="0"/>
              <w:jc w:val="center"/>
              <w:rPr>
                <w:color w:val="auto"/>
                <w:sz w:val="24"/>
                <w:szCs w:val="24"/>
                <w:highlight w:val="none"/>
              </w:rPr>
            </w:pPr>
            <w:r>
              <w:rPr>
                <w:color w:val="auto"/>
                <w:sz w:val="24"/>
                <w:szCs w:val="24"/>
                <w:highlight w:val="none"/>
              </w:rPr>
              <w:t> </w:t>
            </w:r>
          </w:p>
        </w:tc>
      </w:tr>
      <w:tr w14:paraId="346C6544">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AB331">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F5F5">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A5506">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67BF1">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A4749">
            <w:pPr>
              <w:pStyle w:val="16"/>
              <w:spacing w:beforeAutospacing="0" w:afterAutospacing="0"/>
              <w:jc w:val="center"/>
              <w:rPr>
                <w:color w:val="auto"/>
                <w:sz w:val="24"/>
                <w:szCs w:val="24"/>
                <w:highlight w:val="none"/>
              </w:rPr>
            </w:pPr>
            <w:r>
              <w:rPr>
                <w:color w:val="auto"/>
                <w:sz w:val="24"/>
                <w:szCs w:val="24"/>
                <w:highlight w:val="none"/>
              </w:rPr>
              <w:t> </w:t>
            </w:r>
          </w:p>
        </w:tc>
      </w:tr>
      <w:tr w14:paraId="521CA770">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710CF">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36CEB">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7465C">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DF82D">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59315">
            <w:pPr>
              <w:pStyle w:val="16"/>
              <w:spacing w:beforeAutospacing="0" w:afterAutospacing="0"/>
              <w:jc w:val="center"/>
              <w:rPr>
                <w:color w:val="auto"/>
                <w:sz w:val="24"/>
                <w:szCs w:val="24"/>
                <w:highlight w:val="none"/>
              </w:rPr>
            </w:pPr>
            <w:r>
              <w:rPr>
                <w:color w:val="auto"/>
                <w:sz w:val="24"/>
                <w:szCs w:val="24"/>
                <w:highlight w:val="none"/>
              </w:rPr>
              <w:t> </w:t>
            </w:r>
          </w:p>
        </w:tc>
      </w:tr>
      <w:tr w14:paraId="000786EC">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C1E36">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FBF21">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68F49">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6FCA1">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675D9">
            <w:pPr>
              <w:pStyle w:val="16"/>
              <w:spacing w:beforeAutospacing="0" w:afterAutospacing="0"/>
              <w:jc w:val="center"/>
              <w:rPr>
                <w:color w:val="auto"/>
                <w:sz w:val="24"/>
                <w:szCs w:val="24"/>
                <w:highlight w:val="none"/>
              </w:rPr>
            </w:pPr>
            <w:r>
              <w:rPr>
                <w:color w:val="auto"/>
                <w:sz w:val="24"/>
                <w:szCs w:val="24"/>
                <w:highlight w:val="none"/>
              </w:rPr>
              <w:t> </w:t>
            </w:r>
          </w:p>
        </w:tc>
      </w:tr>
    </w:tbl>
    <w:p w14:paraId="4017D545">
      <w:pPr>
        <w:pStyle w:val="16"/>
        <w:spacing w:beforeAutospacing="0" w:afterAutospacing="0"/>
        <w:jc w:val="both"/>
        <w:rPr>
          <w:color w:val="auto"/>
          <w:sz w:val="24"/>
          <w:szCs w:val="24"/>
          <w:highlight w:val="none"/>
        </w:rPr>
      </w:pPr>
      <w:r>
        <w:rPr>
          <w:rFonts w:hint="eastAsia" w:ascii="宋体" w:hAnsi="宋体" w:eastAsia="宋体" w:cs="宋体"/>
          <w:color w:val="auto"/>
          <w:sz w:val="24"/>
          <w:szCs w:val="24"/>
          <w:highlight w:val="none"/>
        </w:rPr>
        <w:t>注： 行数不够，可自行添加。</w:t>
      </w:r>
    </w:p>
    <w:p w14:paraId="1932B2C9">
      <w:pPr>
        <w:pStyle w:val="16"/>
        <w:spacing w:beforeAutospacing="0" w:afterAutospacing="0"/>
        <w:jc w:val="center"/>
        <w:rPr>
          <w:color w:val="auto"/>
          <w:sz w:val="24"/>
          <w:szCs w:val="24"/>
          <w:highlight w:val="none"/>
        </w:rPr>
      </w:pPr>
      <w:r>
        <w:rPr>
          <w:color w:val="auto"/>
          <w:sz w:val="24"/>
          <w:szCs w:val="24"/>
          <w:highlight w:val="none"/>
        </w:rPr>
        <w:t> </w:t>
      </w:r>
    </w:p>
    <w:p w14:paraId="728B1623">
      <w:pPr>
        <w:pStyle w:val="16"/>
        <w:spacing w:beforeAutospacing="0" w:afterAutospacing="0"/>
        <w:jc w:val="center"/>
        <w:rPr>
          <w:color w:val="auto"/>
          <w:sz w:val="24"/>
          <w:szCs w:val="24"/>
          <w:highlight w:val="none"/>
        </w:rPr>
      </w:pPr>
      <w:r>
        <w:rPr>
          <w:color w:val="auto"/>
          <w:sz w:val="24"/>
          <w:szCs w:val="24"/>
          <w:highlight w:val="none"/>
        </w:rPr>
        <w:t> </w:t>
      </w:r>
    </w:p>
    <w:p w14:paraId="39FFD35A">
      <w:pPr>
        <w:pStyle w:val="16"/>
        <w:spacing w:beforeAutospacing="0" w:afterAutospacing="0"/>
        <w:jc w:val="center"/>
        <w:rPr>
          <w:color w:val="auto"/>
          <w:sz w:val="24"/>
          <w:szCs w:val="24"/>
          <w:highlight w:val="none"/>
        </w:rPr>
      </w:pPr>
      <w:r>
        <w:rPr>
          <w:color w:val="auto"/>
          <w:sz w:val="24"/>
          <w:szCs w:val="24"/>
          <w:highlight w:val="none"/>
        </w:rPr>
        <w:t> </w:t>
      </w:r>
    </w:p>
    <w:p w14:paraId="195C3A87">
      <w:pPr>
        <w:pStyle w:val="16"/>
        <w:spacing w:beforeAutospacing="0" w:afterAutospacing="0"/>
        <w:jc w:val="center"/>
        <w:rPr>
          <w:color w:val="auto"/>
          <w:sz w:val="24"/>
          <w:szCs w:val="24"/>
          <w:highlight w:val="none"/>
        </w:rPr>
      </w:pPr>
      <w:r>
        <w:rPr>
          <w:color w:val="auto"/>
          <w:sz w:val="24"/>
          <w:szCs w:val="24"/>
          <w:highlight w:val="none"/>
        </w:rPr>
        <w:t> </w:t>
      </w:r>
    </w:p>
    <w:p w14:paraId="5A3F37A3">
      <w:pPr>
        <w:pStyle w:val="16"/>
        <w:spacing w:beforeAutospacing="0" w:afterAutospacing="0"/>
        <w:jc w:val="both"/>
        <w:rPr>
          <w:color w:val="auto"/>
          <w:sz w:val="24"/>
          <w:szCs w:val="24"/>
          <w:highlight w:val="none"/>
        </w:rPr>
      </w:pPr>
      <w:r>
        <w:rPr>
          <w:color w:val="auto"/>
          <w:sz w:val="24"/>
          <w:szCs w:val="24"/>
          <w:highlight w:val="none"/>
        </w:rPr>
        <w:t> </w:t>
      </w:r>
    </w:p>
    <w:p w14:paraId="07EF449B">
      <w:pPr>
        <w:pStyle w:val="16"/>
        <w:spacing w:beforeAutospacing="0" w:afterAutospacing="0"/>
        <w:jc w:val="both"/>
        <w:rPr>
          <w:color w:val="auto"/>
          <w:sz w:val="24"/>
          <w:szCs w:val="24"/>
          <w:highlight w:val="none"/>
        </w:rPr>
      </w:pPr>
      <w:r>
        <w:rPr>
          <w:color w:val="auto"/>
          <w:sz w:val="24"/>
          <w:szCs w:val="24"/>
          <w:highlight w:val="none"/>
        </w:rPr>
        <w:t> </w:t>
      </w:r>
    </w:p>
    <w:p w14:paraId="2D66A686">
      <w:pPr>
        <w:pStyle w:val="16"/>
        <w:spacing w:beforeAutospacing="0" w:afterAutospacing="0"/>
        <w:jc w:val="both"/>
        <w:rPr>
          <w:color w:val="auto"/>
          <w:sz w:val="24"/>
          <w:szCs w:val="24"/>
          <w:highlight w:val="none"/>
        </w:rPr>
      </w:pPr>
      <w:r>
        <w:rPr>
          <w:color w:val="auto"/>
          <w:sz w:val="24"/>
          <w:szCs w:val="24"/>
          <w:highlight w:val="none"/>
        </w:rPr>
        <w:t> </w:t>
      </w:r>
    </w:p>
    <w:p w14:paraId="32C4CA1E">
      <w:pPr>
        <w:pStyle w:val="16"/>
        <w:spacing w:beforeAutospacing="0" w:afterAutospacing="0"/>
        <w:jc w:val="both"/>
        <w:rPr>
          <w:color w:val="auto"/>
          <w:sz w:val="24"/>
          <w:szCs w:val="24"/>
          <w:highlight w:val="none"/>
        </w:rPr>
      </w:pPr>
      <w:r>
        <w:rPr>
          <w:color w:val="auto"/>
          <w:sz w:val="24"/>
          <w:szCs w:val="24"/>
          <w:highlight w:val="none"/>
        </w:rPr>
        <w:t> </w:t>
      </w:r>
    </w:p>
    <w:p w14:paraId="06EE8CBE">
      <w:pPr>
        <w:pStyle w:val="16"/>
        <w:spacing w:beforeAutospacing="0" w:afterAutospacing="0"/>
        <w:jc w:val="both"/>
        <w:rPr>
          <w:color w:val="auto"/>
          <w:sz w:val="24"/>
          <w:szCs w:val="24"/>
          <w:highlight w:val="none"/>
        </w:rPr>
      </w:pPr>
      <w:r>
        <w:rPr>
          <w:color w:val="auto"/>
          <w:sz w:val="24"/>
          <w:szCs w:val="24"/>
          <w:highlight w:val="none"/>
        </w:rPr>
        <w:t> </w:t>
      </w:r>
    </w:p>
    <w:p w14:paraId="64BB1926">
      <w:pPr>
        <w:pStyle w:val="16"/>
        <w:spacing w:beforeAutospacing="0" w:afterAutospacing="0"/>
        <w:jc w:val="both"/>
        <w:rPr>
          <w:color w:val="auto"/>
          <w:sz w:val="24"/>
          <w:szCs w:val="24"/>
          <w:highlight w:val="none"/>
        </w:rPr>
      </w:pPr>
      <w:r>
        <w:rPr>
          <w:color w:val="auto"/>
          <w:sz w:val="24"/>
          <w:szCs w:val="24"/>
          <w:highlight w:val="none"/>
        </w:rPr>
        <w:t> </w:t>
      </w:r>
    </w:p>
    <w:p w14:paraId="0BC400FA">
      <w:pPr>
        <w:pStyle w:val="16"/>
        <w:spacing w:beforeAutospacing="0" w:afterAutospacing="0"/>
        <w:jc w:val="both"/>
        <w:rPr>
          <w:color w:val="auto"/>
          <w:sz w:val="24"/>
          <w:szCs w:val="24"/>
          <w:highlight w:val="none"/>
        </w:rPr>
      </w:pPr>
      <w:r>
        <w:rPr>
          <w:color w:val="auto"/>
          <w:sz w:val="24"/>
          <w:szCs w:val="24"/>
          <w:highlight w:val="none"/>
        </w:rPr>
        <w:t> </w:t>
      </w:r>
    </w:p>
    <w:p w14:paraId="5819F4D6">
      <w:pPr>
        <w:pStyle w:val="16"/>
        <w:spacing w:beforeAutospacing="0" w:afterAutospacing="0"/>
        <w:jc w:val="both"/>
        <w:rPr>
          <w:color w:val="auto"/>
          <w:sz w:val="24"/>
          <w:szCs w:val="24"/>
          <w:highlight w:val="none"/>
        </w:rPr>
      </w:pPr>
      <w:r>
        <w:rPr>
          <w:color w:val="auto"/>
          <w:sz w:val="24"/>
          <w:szCs w:val="24"/>
          <w:highlight w:val="none"/>
        </w:rPr>
        <w:t> </w:t>
      </w:r>
    </w:p>
    <w:p w14:paraId="099C702B">
      <w:pPr>
        <w:rPr>
          <w:rFonts w:hint="eastAsia" w:ascii="黑体" w:hAnsi="宋体" w:eastAsia="黑体" w:cs="黑体"/>
          <w:b/>
          <w:color w:val="auto"/>
          <w:sz w:val="32"/>
          <w:szCs w:val="32"/>
          <w:highlight w:val="none"/>
        </w:rPr>
      </w:pPr>
      <w:bookmarkStart w:id="179" w:name="_Hlt26955054"/>
      <w:r>
        <w:rPr>
          <w:rFonts w:hint="eastAsia" w:ascii="黑体" w:hAnsi="宋体" w:eastAsia="黑体" w:cs="黑体"/>
          <w:b/>
          <w:color w:val="auto"/>
          <w:sz w:val="32"/>
          <w:szCs w:val="32"/>
          <w:highlight w:val="none"/>
        </w:rPr>
        <w:br w:type="page"/>
      </w:r>
    </w:p>
    <w:p w14:paraId="68AF5E3B">
      <w:pPr>
        <w:pStyle w:val="16"/>
        <w:spacing w:beforeAutospacing="0" w:afterAutospacing="0"/>
        <w:jc w:val="center"/>
        <w:rPr>
          <w:color w:val="auto"/>
          <w:sz w:val="24"/>
          <w:szCs w:val="24"/>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、商务要求响应及偏离表（分包号：**）</w:t>
      </w:r>
    </w:p>
    <w:tbl>
      <w:tblPr>
        <w:tblStyle w:val="17"/>
        <w:tblW w:w="4998" w:type="pct"/>
        <w:tblCellSpacing w:w="0" w:type="dxa"/>
        <w:tblInd w:w="0" w:type="dxa"/>
        <w:tblLayout w:type="autofit"/>
        <w:tblCellMar>
          <w:top w:w="0" w:type="dxa"/>
          <w:left w:w="108" w:type="dxa"/>
          <w:bottom w:w="0" w:type="dxa"/>
          <w:right w:w="108" w:type="dxa"/>
        </w:tblCellMar>
      </w:tblPr>
      <w:tblGrid>
        <w:gridCol w:w="622"/>
        <w:gridCol w:w="3507"/>
        <w:gridCol w:w="3023"/>
        <w:gridCol w:w="1444"/>
        <w:gridCol w:w="1274"/>
      </w:tblGrid>
      <w:tr w14:paraId="08058AB9">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6"/>
              <w:spacing w:beforeAutospacing="0" w:afterAutospacing="0"/>
              <w:jc w:val="center"/>
              <w:rPr>
                <w:color w:val="auto"/>
                <w:sz w:val="24"/>
                <w:szCs w:val="24"/>
                <w:highlight w:val="none"/>
              </w:rPr>
            </w:pPr>
            <w:bookmarkStart w:id="180" w:name="_Hlt26671372"/>
            <w:bookmarkStart w:id="181" w:name="_Hlt26609391"/>
            <w:bookmarkStart w:id="182" w:name="_Hlt26782999"/>
            <w:bookmarkStart w:id="183" w:name="_Hlt26955056"/>
            <w:bookmarkStart w:id="184" w:name="_Hlt26671343"/>
            <w:bookmarkStart w:id="185" w:name="_Hlt26955064"/>
            <w:bookmarkStart w:id="186" w:name="_Hlt26580838"/>
            <w:bookmarkStart w:id="187" w:name="_Hlt24879081"/>
            <w:r>
              <w:rPr>
                <w:rFonts w:hint="eastAsia" w:ascii="宋体" w:hAnsi="宋体" w:eastAsia="宋体" w:cs="宋体"/>
                <w:color w:val="auto"/>
                <w:sz w:val="24"/>
                <w:szCs w:val="24"/>
                <w:highlight w:val="none"/>
              </w:rPr>
              <w:t>序号</w:t>
            </w:r>
          </w:p>
          <w:bookmarkEnd w:id="180"/>
          <w:bookmarkEnd w:id="181"/>
          <w:bookmarkEnd w:id="182"/>
          <w:bookmarkEnd w:id="183"/>
          <w:bookmarkEnd w:id="184"/>
          <w:bookmarkEnd w:id="185"/>
          <w:bookmarkEnd w:id="186"/>
          <w:bookmarkEnd w:id="187"/>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磋商文件要求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证明</w:t>
            </w:r>
          </w:p>
          <w:p w14:paraId="66CF6DB2">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6"/>
              <w:spacing w:beforeAutospacing="0" w:afterAutospacing="0"/>
              <w:jc w:val="center"/>
              <w:rPr>
                <w:color w:val="auto"/>
                <w:sz w:val="24"/>
                <w:szCs w:val="24"/>
                <w:highlight w:val="none"/>
              </w:rPr>
            </w:pPr>
            <w:r>
              <w:rPr>
                <w:color w:val="auto"/>
                <w:sz w:val="24"/>
                <w:szCs w:val="24"/>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6"/>
              <w:spacing w:beforeAutospacing="0" w:afterAutospacing="0"/>
              <w:jc w:val="center"/>
              <w:rPr>
                <w:color w:val="auto"/>
                <w:sz w:val="24"/>
                <w:szCs w:val="24"/>
                <w:highlight w:val="none"/>
              </w:rPr>
            </w:pPr>
            <w:r>
              <w:rPr>
                <w:color w:val="auto"/>
                <w:sz w:val="24"/>
                <w:szCs w:val="24"/>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6"/>
              <w:spacing w:beforeAutospacing="0" w:afterAutospacing="0"/>
              <w:jc w:val="center"/>
              <w:rPr>
                <w:color w:val="auto"/>
                <w:sz w:val="24"/>
                <w:szCs w:val="24"/>
                <w:highlight w:val="none"/>
              </w:rPr>
            </w:pPr>
            <w:r>
              <w:rPr>
                <w:color w:val="auto"/>
                <w:sz w:val="24"/>
                <w:szCs w:val="24"/>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6"/>
              <w:spacing w:beforeAutospacing="0" w:afterAutospacing="0"/>
              <w:jc w:val="center"/>
              <w:rPr>
                <w:color w:val="auto"/>
                <w:sz w:val="24"/>
                <w:szCs w:val="24"/>
                <w:highlight w:val="none"/>
              </w:rPr>
            </w:pPr>
            <w:r>
              <w:rPr>
                <w:color w:val="auto"/>
                <w:sz w:val="24"/>
                <w:szCs w:val="24"/>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6"/>
              <w:spacing w:beforeAutospacing="0" w:afterAutospacing="0"/>
              <w:jc w:val="center"/>
              <w:rPr>
                <w:color w:val="auto"/>
                <w:sz w:val="24"/>
                <w:szCs w:val="24"/>
                <w:highlight w:val="none"/>
              </w:rPr>
            </w:pPr>
            <w:r>
              <w:rPr>
                <w:color w:val="auto"/>
                <w:sz w:val="24"/>
                <w:szCs w:val="24"/>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6"/>
              <w:spacing w:beforeAutospacing="0" w:afterAutospacing="0"/>
              <w:jc w:val="center"/>
              <w:rPr>
                <w:color w:val="auto"/>
                <w:sz w:val="24"/>
                <w:szCs w:val="24"/>
                <w:highlight w:val="none"/>
              </w:rPr>
            </w:pPr>
            <w:r>
              <w:rPr>
                <w:color w:val="auto"/>
                <w:sz w:val="24"/>
                <w:szCs w:val="24"/>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6"/>
              <w:spacing w:beforeAutospacing="0" w:afterAutospacing="0"/>
              <w:jc w:val="center"/>
              <w:rPr>
                <w:color w:val="auto"/>
                <w:sz w:val="24"/>
                <w:szCs w:val="24"/>
                <w:highlight w:val="none"/>
              </w:rPr>
            </w:pPr>
            <w:r>
              <w:rPr>
                <w:color w:val="auto"/>
                <w:sz w:val="24"/>
                <w:szCs w:val="24"/>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6"/>
              <w:spacing w:beforeAutospacing="0" w:afterAutospacing="0"/>
              <w:jc w:val="center"/>
              <w:rPr>
                <w:color w:val="auto"/>
                <w:sz w:val="24"/>
                <w:szCs w:val="24"/>
                <w:highlight w:val="none"/>
              </w:rPr>
            </w:pPr>
            <w:r>
              <w:rPr>
                <w:color w:val="auto"/>
                <w:sz w:val="24"/>
                <w:szCs w:val="24"/>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6"/>
              <w:spacing w:beforeAutospacing="0" w:afterAutospacing="0"/>
              <w:jc w:val="center"/>
              <w:rPr>
                <w:color w:val="auto"/>
                <w:sz w:val="24"/>
                <w:szCs w:val="24"/>
                <w:highlight w:val="none"/>
              </w:rPr>
            </w:pPr>
            <w:r>
              <w:rPr>
                <w:color w:val="auto"/>
                <w:sz w:val="24"/>
                <w:szCs w:val="24"/>
                <w:highlight w:val="none"/>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6"/>
              <w:spacing w:beforeAutospacing="0" w:afterAutospacing="0"/>
              <w:jc w:val="center"/>
              <w:rPr>
                <w:color w:val="auto"/>
                <w:sz w:val="24"/>
                <w:szCs w:val="24"/>
                <w:highlight w:val="none"/>
              </w:rPr>
            </w:pPr>
            <w:r>
              <w:rPr>
                <w:rFonts w:hint="eastAsia" w:ascii="宋体" w:hAnsi="宋体" w:eastAsia="宋体" w:cs="宋体"/>
                <w:color w:val="auto"/>
                <w:sz w:val="24"/>
                <w:szCs w:val="24"/>
                <w:highlight w:val="none"/>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6"/>
              <w:spacing w:beforeAutospacing="0" w:afterAutospacing="0"/>
              <w:jc w:val="center"/>
              <w:rPr>
                <w:color w:val="auto"/>
                <w:sz w:val="24"/>
                <w:szCs w:val="24"/>
                <w:highlight w:val="none"/>
              </w:rPr>
            </w:pPr>
            <w:r>
              <w:rPr>
                <w:color w:val="auto"/>
                <w:sz w:val="24"/>
                <w:szCs w:val="24"/>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6"/>
              <w:spacing w:beforeAutospacing="0" w:afterAutospacing="0"/>
              <w:jc w:val="center"/>
              <w:rPr>
                <w:color w:val="auto"/>
                <w:sz w:val="24"/>
                <w:szCs w:val="24"/>
                <w:highlight w:val="none"/>
              </w:rPr>
            </w:pPr>
            <w:r>
              <w:rPr>
                <w:color w:val="auto"/>
                <w:sz w:val="24"/>
                <w:szCs w:val="24"/>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6"/>
              <w:spacing w:beforeAutospacing="0" w:afterAutospacing="0"/>
              <w:jc w:val="center"/>
              <w:rPr>
                <w:color w:val="auto"/>
                <w:sz w:val="24"/>
                <w:szCs w:val="24"/>
                <w:highlight w:val="none"/>
              </w:rPr>
            </w:pPr>
            <w:r>
              <w:rPr>
                <w:color w:val="auto"/>
                <w:sz w:val="24"/>
                <w:szCs w:val="24"/>
                <w:highlight w:val="none"/>
              </w:rPr>
              <w:t> </w:t>
            </w:r>
          </w:p>
        </w:tc>
      </w:tr>
    </w:tbl>
    <w:p w14:paraId="728C6C08">
      <w:pPr>
        <w:pStyle w:val="16"/>
        <w:spacing w:beforeAutospacing="0" w:afterAutospacing="0"/>
        <w:jc w:val="both"/>
        <w:rPr>
          <w:color w:val="auto"/>
          <w:sz w:val="24"/>
          <w:szCs w:val="24"/>
          <w:highlight w:val="none"/>
        </w:rPr>
      </w:pPr>
      <w:r>
        <w:rPr>
          <w:rFonts w:hint="eastAsia" w:ascii="宋体" w:hAnsi="宋体" w:eastAsia="宋体" w:cs="宋体"/>
          <w:color w:val="auto"/>
          <w:sz w:val="24"/>
          <w:szCs w:val="24"/>
          <w:highlight w:val="none"/>
        </w:rPr>
        <w:t>注： 行数不够，可自行添加。</w:t>
      </w:r>
    </w:p>
    <w:p w14:paraId="5C26DAE2">
      <w:pPr>
        <w:pStyle w:val="16"/>
        <w:spacing w:beforeAutospacing="0" w:afterAutospacing="0" w:line="480" w:lineRule="auto"/>
        <w:jc w:val="both"/>
        <w:rPr>
          <w:color w:val="auto"/>
          <w:sz w:val="24"/>
          <w:szCs w:val="24"/>
          <w:highlight w:val="none"/>
        </w:rPr>
      </w:pPr>
      <w:r>
        <w:rPr>
          <w:color w:val="auto"/>
          <w:sz w:val="24"/>
          <w:szCs w:val="24"/>
          <w:highlight w:val="none"/>
        </w:rPr>
        <w:t> </w:t>
      </w:r>
    </w:p>
    <w:p w14:paraId="6622F06A">
      <w:pPr>
        <w:pStyle w:val="16"/>
        <w:spacing w:beforeAutospacing="0" w:afterAutospacing="0" w:line="480" w:lineRule="auto"/>
        <w:jc w:val="both"/>
        <w:rPr>
          <w:color w:val="auto"/>
          <w:sz w:val="24"/>
          <w:szCs w:val="24"/>
          <w:highlight w:val="none"/>
        </w:rPr>
      </w:pPr>
      <w:r>
        <w:rPr>
          <w:color w:val="auto"/>
          <w:sz w:val="24"/>
          <w:szCs w:val="24"/>
          <w:highlight w:val="none"/>
        </w:rPr>
        <w:t> </w:t>
      </w:r>
    </w:p>
    <w:p w14:paraId="0FE6B336">
      <w:pPr>
        <w:pStyle w:val="16"/>
        <w:spacing w:beforeAutospacing="0" w:afterAutospacing="0"/>
        <w:jc w:val="center"/>
        <w:rPr>
          <w:color w:val="auto"/>
          <w:sz w:val="24"/>
          <w:szCs w:val="24"/>
          <w:highlight w:val="none"/>
        </w:rPr>
      </w:pPr>
      <w:bookmarkStart w:id="188" w:name="_Hlt26955066"/>
      <w:bookmarkStart w:id="189" w:name="_Hlt26671374"/>
      <w:bookmarkStart w:id="190" w:name="_Hlt26609389"/>
      <w:bookmarkStart w:id="191" w:name="_格式2__法定代表人授权书"/>
      <w:bookmarkStart w:id="192" w:name="_Toc462564146"/>
      <w:r>
        <w:rPr>
          <w:color w:val="auto"/>
          <w:sz w:val="24"/>
          <w:szCs w:val="24"/>
          <w:highlight w:val="none"/>
        </w:rPr>
        <w:t> </w:t>
      </w:r>
    </w:p>
    <w:p w14:paraId="30C138E2">
      <w:pPr>
        <w:pStyle w:val="16"/>
        <w:spacing w:beforeAutospacing="0" w:afterAutospacing="0"/>
        <w:jc w:val="center"/>
        <w:rPr>
          <w:color w:val="auto"/>
          <w:sz w:val="24"/>
          <w:szCs w:val="24"/>
          <w:highlight w:val="none"/>
        </w:rPr>
      </w:pPr>
      <w:r>
        <w:rPr>
          <w:color w:val="auto"/>
          <w:sz w:val="24"/>
          <w:szCs w:val="24"/>
          <w:highlight w:val="none"/>
        </w:rPr>
        <w:t> </w:t>
      </w:r>
    </w:p>
    <w:p w14:paraId="083C0048">
      <w:pPr>
        <w:pStyle w:val="16"/>
        <w:spacing w:beforeAutospacing="0" w:afterAutospacing="0"/>
        <w:jc w:val="center"/>
        <w:rPr>
          <w:color w:val="auto"/>
          <w:sz w:val="24"/>
          <w:szCs w:val="24"/>
          <w:highlight w:val="none"/>
        </w:rPr>
      </w:pPr>
    </w:p>
    <w:p w14:paraId="59AA6E78">
      <w:pPr>
        <w:pStyle w:val="16"/>
        <w:spacing w:beforeAutospacing="0" w:afterAutospacing="0"/>
        <w:jc w:val="center"/>
        <w:rPr>
          <w:color w:val="auto"/>
          <w:sz w:val="24"/>
          <w:szCs w:val="24"/>
          <w:highlight w:val="none"/>
        </w:rPr>
      </w:pPr>
    </w:p>
    <w:p w14:paraId="234EC993">
      <w:pPr>
        <w:pStyle w:val="16"/>
        <w:spacing w:beforeAutospacing="0" w:afterAutospacing="0"/>
        <w:jc w:val="center"/>
        <w:rPr>
          <w:color w:val="auto"/>
          <w:sz w:val="24"/>
          <w:szCs w:val="24"/>
          <w:highlight w:val="none"/>
        </w:rPr>
      </w:pPr>
    </w:p>
    <w:p w14:paraId="00FAB3FE">
      <w:pPr>
        <w:pStyle w:val="16"/>
        <w:spacing w:beforeAutospacing="0" w:afterAutospacing="0"/>
        <w:jc w:val="center"/>
        <w:rPr>
          <w:color w:val="auto"/>
          <w:sz w:val="24"/>
          <w:szCs w:val="24"/>
          <w:highlight w:val="none"/>
        </w:rPr>
      </w:pPr>
    </w:p>
    <w:p w14:paraId="39877613">
      <w:pPr>
        <w:pStyle w:val="16"/>
        <w:spacing w:beforeAutospacing="0" w:afterAutospacing="0"/>
        <w:jc w:val="center"/>
        <w:rPr>
          <w:color w:val="auto"/>
          <w:sz w:val="24"/>
          <w:szCs w:val="24"/>
          <w:highlight w:val="none"/>
        </w:rPr>
      </w:pPr>
      <w:r>
        <w:rPr>
          <w:color w:val="auto"/>
          <w:sz w:val="24"/>
          <w:szCs w:val="24"/>
          <w:highlight w:val="none"/>
        </w:rPr>
        <w:t> </w:t>
      </w:r>
    </w:p>
    <w:p w14:paraId="6E0E7E6F">
      <w:pPr>
        <w:pStyle w:val="16"/>
        <w:spacing w:beforeAutospacing="0" w:afterAutospacing="0"/>
        <w:jc w:val="center"/>
        <w:rPr>
          <w:color w:val="auto"/>
          <w:sz w:val="24"/>
          <w:szCs w:val="24"/>
          <w:highlight w:val="none"/>
        </w:rPr>
      </w:pPr>
      <w:r>
        <w:rPr>
          <w:color w:val="auto"/>
          <w:sz w:val="24"/>
          <w:szCs w:val="24"/>
          <w:highlight w:val="none"/>
        </w:rPr>
        <w:t> </w:t>
      </w:r>
    </w:p>
    <w:p w14:paraId="451A428D">
      <w:pPr>
        <w:pStyle w:val="16"/>
        <w:spacing w:beforeAutospacing="0" w:afterAutospacing="0"/>
        <w:jc w:val="center"/>
        <w:rPr>
          <w:color w:val="auto"/>
          <w:sz w:val="24"/>
          <w:szCs w:val="24"/>
          <w:highlight w:val="none"/>
        </w:rPr>
      </w:pPr>
      <w:r>
        <w:rPr>
          <w:color w:val="auto"/>
          <w:sz w:val="24"/>
          <w:szCs w:val="24"/>
          <w:highlight w:val="none"/>
        </w:rPr>
        <w:t> </w:t>
      </w:r>
    </w:p>
    <w:p w14:paraId="4A42A598">
      <w:pPr>
        <w:pStyle w:val="16"/>
        <w:spacing w:beforeAutospacing="0" w:afterAutospacing="0"/>
        <w:jc w:val="center"/>
        <w:rPr>
          <w:color w:val="auto"/>
          <w:sz w:val="24"/>
          <w:szCs w:val="24"/>
          <w:highlight w:val="none"/>
        </w:rPr>
      </w:pPr>
      <w:r>
        <w:rPr>
          <w:color w:val="auto"/>
          <w:sz w:val="24"/>
          <w:szCs w:val="24"/>
          <w:highlight w:val="none"/>
        </w:rPr>
        <w:t> </w:t>
      </w:r>
    </w:p>
    <w:p w14:paraId="259F7DF5">
      <w:pPr>
        <w:pStyle w:val="16"/>
        <w:spacing w:beforeAutospacing="0" w:afterAutospacing="0"/>
        <w:jc w:val="center"/>
        <w:rPr>
          <w:color w:val="auto"/>
          <w:sz w:val="24"/>
          <w:szCs w:val="24"/>
          <w:highlight w:val="none"/>
        </w:rPr>
      </w:pPr>
      <w:r>
        <w:rPr>
          <w:color w:val="auto"/>
          <w:sz w:val="24"/>
          <w:szCs w:val="24"/>
          <w:highlight w:val="none"/>
        </w:rPr>
        <w:t> </w:t>
      </w:r>
    </w:p>
    <w:p w14:paraId="1726E451">
      <w:pPr>
        <w:pStyle w:val="16"/>
        <w:spacing w:beforeAutospacing="0" w:afterAutospacing="0"/>
        <w:jc w:val="both"/>
        <w:rPr>
          <w:color w:val="auto"/>
          <w:sz w:val="24"/>
          <w:szCs w:val="24"/>
          <w:highlight w:val="none"/>
        </w:rPr>
      </w:pPr>
      <w:r>
        <w:rPr>
          <w:color w:val="auto"/>
          <w:sz w:val="24"/>
          <w:szCs w:val="24"/>
          <w:highlight w:val="none"/>
        </w:rPr>
        <w:t> </w:t>
      </w:r>
    </w:p>
    <w:p w14:paraId="1766518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C0030DB">
      <w:pPr>
        <w:pStyle w:val="16"/>
        <w:numPr>
          <w:ilvl w:val="0"/>
          <w:numId w:val="6"/>
        </w:numPr>
        <w:spacing w:beforeAutospacing="0" w:afterAutospacing="0"/>
        <w:jc w:val="center"/>
        <w:rPr>
          <w:rStyle w:val="29"/>
          <w:rFonts w:ascii="Times New Roman" w:hAnsi="Times New Roman" w:cs="Times New Roman"/>
          <w:b/>
          <w:bCs/>
          <w:sz w:val="32"/>
          <w:szCs w:val="32"/>
        </w:rPr>
      </w:pPr>
      <w:r>
        <w:rPr>
          <w:rStyle w:val="29"/>
          <w:rFonts w:hint="eastAsia" w:ascii="Times New Roman" w:hAnsi="Times New Roman" w:cs="Times New Roman"/>
          <w:b/>
          <w:bCs/>
          <w:sz w:val="32"/>
          <w:szCs w:val="32"/>
        </w:rPr>
        <w:t>磋商报价表</w:t>
      </w:r>
    </w:p>
    <w:p w14:paraId="2E5F39BF">
      <w:pPr>
        <w:pStyle w:val="16"/>
        <w:spacing w:beforeAutospacing="0" w:afterAutospacing="0"/>
        <w:jc w:val="center"/>
      </w:pPr>
      <w:r>
        <w:rPr>
          <w:rStyle w:val="29"/>
          <w:rFonts w:hint="eastAsia" w:ascii="Times New Roman" w:hAnsi="Times New Roman" w:cs="Times New Roman"/>
          <w:b/>
          <w:bCs/>
          <w:sz w:val="32"/>
          <w:szCs w:val="32"/>
          <w:u w:val="single"/>
        </w:rPr>
        <w:t>（  ）</w:t>
      </w:r>
      <w:r>
        <w:rPr>
          <w:rStyle w:val="29"/>
          <w:rFonts w:hint="eastAsia" w:ascii="Times New Roman" w:hAnsi="Times New Roman" w:cs="Times New Roman"/>
          <w:b/>
          <w:bCs/>
          <w:sz w:val="32"/>
          <w:szCs w:val="32"/>
        </w:rPr>
        <w:t>轮</w:t>
      </w:r>
    </w:p>
    <w:p w14:paraId="1637155A">
      <w:pPr>
        <w:pStyle w:val="16"/>
        <w:spacing w:beforeAutospacing="0" w:afterAutospacing="0"/>
        <w:jc w:val="both"/>
      </w:pPr>
      <w:r>
        <w:rPr>
          <w:rFonts w:hint="eastAsia"/>
        </w:rPr>
        <w:t>项目名称：</w:t>
      </w:r>
    </w:p>
    <w:p w14:paraId="5A3AE3AD">
      <w:pPr>
        <w:pStyle w:val="16"/>
        <w:spacing w:beforeAutospacing="0" w:afterAutospacing="0"/>
      </w:pPr>
      <w:r>
        <w:rPr>
          <w:rFonts w:hint="eastAsia"/>
        </w:rPr>
        <w:t xml:space="preserve">招标编号：                                   </w:t>
      </w:r>
    </w:p>
    <w:tbl>
      <w:tblPr>
        <w:tblStyle w:val="17"/>
        <w:tblW w:w="5000" w:type="pct"/>
        <w:tblCellSpacing w:w="0" w:type="dxa"/>
        <w:tblInd w:w="0" w:type="dxa"/>
        <w:tblLayout w:type="autofit"/>
        <w:tblCellMar>
          <w:top w:w="0" w:type="dxa"/>
          <w:left w:w="108" w:type="dxa"/>
          <w:bottom w:w="0" w:type="dxa"/>
          <w:right w:w="108" w:type="dxa"/>
        </w:tblCellMar>
      </w:tblPr>
      <w:tblGrid>
        <w:gridCol w:w="9874"/>
      </w:tblGrid>
      <w:tr w14:paraId="6C346F6A">
        <w:tblPrEx>
          <w:tblCellMar>
            <w:top w:w="0" w:type="dxa"/>
            <w:left w:w="108" w:type="dxa"/>
            <w:bottom w:w="0" w:type="dxa"/>
            <w:right w:w="108" w:type="dxa"/>
          </w:tblCellMar>
        </w:tblPrEx>
        <w:trPr>
          <w:trHeight w:val="725" w:hRule="atLeast"/>
          <w:tblCellSpacing w:w="0" w:type="dxa"/>
        </w:trPr>
        <w:tc>
          <w:tcPr>
            <w:tcW w:w="5000" w:type="pct"/>
            <w:tcBorders>
              <w:top w:val="single" w:color="000000" w:sz="4" w:space="0"/>
              <w:left w:val="single" w:color="000000" w:sz="4" w:space="0"/>
              <w:bottom w:val="single" w:color="000000" w:sz="4" w:space="0"/>
              <w:right w:val="single" w:color="000000" w:sz="4" w:space="0"/>
            </w:tcBorders>
            <w:vAlign w:val="center"/>
          </w:tcPr>
          <w:p w14:paraId="203D56B7">
            <w:pPr>
              <w:pStyle w:val="16"/>
              <w:spacing w:beforeAutospacing="0" w:afterAutospacing="0"/>
              <w:jc w:val="both"/>
            </w:pPr>
            <w:r>
              <w:rPr>
                <w:rFonts w:hint="eastAsia"/>
              </w:rPr>
              <w:t>               投标总报价</w:t>
            </w:r>
          </w:p>
        </w:tc>
      </w:tr>
      <w:tr w14:paraId="4A015880">
        <w:tblPrEx>
          <w:tblCellMar>
            <w:top w:w="0" w:type="dxa"/>
            <w:left w:w="108" w:type="dxa"/>
            <w:bottom w:w="0" w:type="dxa"/>
            <w:right w:w="108" w:type="dxa"/>
          </w:tblCellMar>
        </w:tblPrEx>
        <w:trPr>
          <w:trHeight w:val="922" w:hRule="atLeast"/>
          <w:tblCellSpacing w:w="0" w:type="dxa"/>
        </w:trPr>
        <w:tc>
          <w:tcPr>
            <w:tcW w:w="5000" w:type="pct"/>
            <w:tcBorders>
              <w:top w:val="single" w:color="000000" w:sz="4" w:space="0"/>
              <w:left w:val="single" w:color="000000" w:sz="4" w:space="0"/>
              <w:bottom w:val="single" w:color="000000" w:sz="4" w:space="0"/>
              <w:right w:val="single" w:color="000000" w:sz="4" w:space="0"/>
            </w:tcBorders>
            <w:vAlign w:val="center"/>
          </w:tcPr>
          <w:p w14:paraId="32A3138B">
            <w:pPr>
              <w:pStyle w:val="16"/>
              <w:spacing w:beforeAutospacing="0" w:afterAutospacing="0" w:line="0" w:lineRule="atLeast"/>
            </w:pPr>
            <w:r>
              <w:rPr>
                <w:rFonts w:hint="eastAsia"/>
              </w:rPr>
              <w:t xml:space="preserve">小写：                             </w:t>
            </w:r>
          </w:p>
          <w:p w14:paraId="353193D6">
            <w:pPr>
              <w:pStyle w:val="16"/>
              <w:spacing w:beforeAutospacing="0" w:afterAutospacing="0" w:line="0" w:lineRule="atLeast"/>
            </w:pPr>
            <w:r>
              <w:rPr>
                <w:rFonts w:hint="eastAsia"/>
              </w:rPr>
              <w:t>大写：</w:t>
            </w:r>
          </w:p>
        </w:tc>
      </w:tr>
    </w:tbl>
    <w:p w14:paraId="30AD0596">
      <w:pPr>
        <w:pStyle w:val="16"/>
        <w:spacing w:beforeAutospacing="0" w:afterAutospacing="0"/>
        <w:jc w:val="center"/>
      </w:pPr>
      <w:r>
        <w:rPr>
          <w:rFonts w:hint="eastAsia"/>
        </w:rPr>
        <w:t xml:space="preserve">                       </w:t>
      </w:r>
    </w:p>
    <w:p w14:paraId="78BC1239">
      <w:pPr>
        <w:pStyle w:val="16"/>
        <w:spacing w:beforeAutospacing="0" w:afterAutospacing="0"/>
        <w:jc w:val="center"/>
      </w:pPr>
      <w:r>
        <w:rPr>
          <w:rFonts w:hint="eastAsia"/>
        </w:rPr>
        <w:t>企业名称（加盖CA电子公章）：</w:t>
      </w:r>
    </w:p>
    <w:p w14:paraId="62140087">
      <w:pPr>
        <w:pStyle w:val="16"/>
        <w:spacing w:beforeAutospacing="0" w:afterAutospacing="0" w:line="0" w:lineRule="atLeast"/>
        <w:ind w:right="480" w:firstLine="3600" w:firstLineChars="1500"/>
        <w:jc w:val="both"/>
      </w:pPr>
      <w:r>
        <w:rPr>
          <w:rFonts w:hint="eastAsia"/>
        </w:rPr>
        <w:t>日  期：</w:t>
      </w:r>
    </w:p>
    <w:p w14:paraId="31572E5E">
      <w:pPr>
        <w:pStyle w:val="16"/>
        <w:spacing w:beforeAutospacing="0" w:afterAutospacing="0"/>
        <w:ind w:firstLine="480"/>
        <w:jc w:val="both"/>
        <w:rPr>
          <w:sz w:val="24"/>
          <w:szCs w:val="24"/>
          <w:highlight w:val="none"/>
        </w:rPr>
      </w:pPr>
    </w:p>
    <w:p w14:paraId="29D1AF51">
      <w:pPr>
        <w:widowControl/>
        <w:spacing w:before="50" w:after="50"/>
        <w:jc w:val="center"/>
        <w:rPr>
          <w:sz w:val="21"/>
          <w:szCs w:val="24"/>
          <w:highlight w:val="none"/>
        </w:rPr>
      </w:pPr>
      <w:r>
        <w:rPr>
          <w:sz w:val="21"/>
          <w:szCs w:val="24"/>
          <w:highlight w:val="none"/>
        </w:rPr>
        <w:tab/>
      </w:r>
    </w:p>
    <w:p w14:paraId="32A3A5EB">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A0616E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B023FD6">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AC3261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2B8DDAE2">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BD622FC">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5A593876">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B5D8234">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9BF8A35">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0B85E88B">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0E7C614D">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840BDB0">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4A0DF17">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58F89939">
      <w:pPr>
        <w:spacing w:before="286" w:after="286" w:line="360" w:lineRule="auto"/>
        <w:jc w:val="center"/>
        <w:rPr>
          <w:rStyle w:val="29"/>
          <w:rFonts w:ascii="宋体" w:hAnsi="宋体"/>
          <w:b/>
          <w:bCs/>
          <w:sz w:val="32"/>
          <w:szCs w:val="32"/>
        </w:rPr>
      </w:pPr>
      <w:r>
        <w:rPr>
          <w:rFonts w:hint="eastAsia"/>
          <w:b/>
          <w:sz w:val="30"/>
          <w:szCs w:val="30"/>
        </w:rPr>
        <w:t>十五、项目人员一览表</w:t>
      </w:r>
    </w:p>
    <w:tbl>
      <w:tblPr>
        <w:tblStyle w:val="17"/>
        <w:tblW w:w="986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1187"/>
        <w:gridCol w:w="893"/>
        <w:gridCol w:w="993"/>
        <w:gridCol w:w="1275"/>
        <w:gridCol w:w="1261"/>
        <w:gridCol w:w="1134"/>
        <w:gridCol w:w="1277"/>
        <w:gridCol w:w="1843"/>
      </w:tblGrid>
      <w:tr w14:paraId="2B70EF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10" w:hRule="atLeast"/>
          <w:jc w:val="center"/>
        </w:trPr>
        <w:tc>
          <w:tcPr>
            <w:tcW w:w="9863" w:type="dxa"/>
            <w:gridSpan w:val="8"/>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41B03E3">
            <w:pPr>
              <w:jc w:val="left"/>
              <w:rPr>
                <w:rStyle w:val="20"/>
                <w:rFonts w:ascii="宋体" w:hAnsi="宋体" w:cs="??"/>
                <w:sz w:val="24"/>
              </w:rPr>
            </w:pPr>
            <w:r>
              <w:rPr>
                <w:rStyle w:val="20"/>
                <w:rFonts w:hint="eastAsia" w:ascii="宋体" w:hAnsi="宋体" w:cs="??"/>
                <w:sz w:val="24"/>
              </w:rPr>
              <w:t>供</w:t>
            </w:r>
            <w:r>
              <w:rPr>
                <w:rStyle w:val="20"/>
                <w:rFonts w:hint="eastAsia" w:ascii="宋体" w:hAnsi="宋体" w:cs="宋体"/>
                <w:sz w:val="24"/>
              </w:rPr>
              <w:t>应</w:t>
            </w:r>
            <w:r>
              <w:rPr>
                <w:rStyle w:val="20"/>
                <w:rFonts w:hint="eastAsia" w:ascii="宋体" w:hAnsi="宋体" w:cs="??"/>
                <w:sz w:val="24"/>
              </w:rPr>
              <w:t>商名称：</w:t>
            </w:r>
          </w:p>
        </w:tc>
      </w:tr>
      <w:tr w14:paraId="1330B7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10" w:hRule="atLeast"/>
          <w:jc w:val="center"/>
        </w:trPr>
        <w:tc>
          <w:tcPr>
            <w:tcW w:w="9863" w:type="dxa"/>
            <w:gridSpan w:val="8"/>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6A7ECB6">
            <w:pPr>
              <w:jc w:val="left"/>
              <w:rPr>
                <w:rStyle w:val="20"/>
                <w:rFonts w:ascii="宋体" w:hAnsi="宋体" w:cs="宋体"/>
                <w:sz w:val="24"/>
              </w:rPr>
            </w:pPr>
            <w:r>
              <w:rPr>
                <w:rStyle w:val="20"/>
                <w:rFonts w:hint="eastAsia" w:ascii="宋体" w:hAnsi="宋体" w:cs="宋体"/>
                <w:sz w:val="24"/>
              </w:rPr>
              <w:t>项</w:t>
            </w:r>
            <w:r>
              <w:rPr>
                <w:rStyle w:val="20"/>
                <w:rFonts w:hint="eastAsia" w:ascii="宋体" w:hAnsi="宋体" w:cs="??"/>
                <w:sz w:val="24"/>
              </w:rPr>
              <w:t>目总</w:t>
            </w:r>
            <w:r>
              <w:rPr>
                <w:rStyle w:val="20"/>
                <w:rFonts w:hint="eastAsia" w:ascii="宋体" w:hAnsi="宋体" w:cs="宋体"/>
                <w:sz w:val="24"/>
              </w:rPr>
              <w:t>负责</w:t>
            </w:r>
            <w:r>
              <w:rPr>
                <w:rStyle w:val="20"/>
                <w:rFonts w:hint="eastAsia" w:ascii="宋体" w:hAnsi="宋体" w:cs="??"/>
                <w:sz w:val="24"/>
              </w:rPr>
              <w:t>人：</w:t>
            </w:r>
          </w:p>
        </w:tc>
      </w:tr>
      <w:tr w14:paraId="77DA0D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25"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EF576EA">
            <w:pPr>
              <w:spacing w:line="500" w:lineRule="exact"/>
              <w:jc w:val="center"/>
              <w:rPr>
                <w:rFonts w:ascii="宋体" w:hAnsi="宋体"/>
                <w:sz w:val="24"/>
              </w:rPr>
            </w:pPr>
            <w:r>
              <w:rPr>
                <w:rStyle w:val="20"/>
                <w:rFonts w:hint="eastAsia" w:ascii="宋体" w:hAnsi="宋体" w:cs="??"/>
                <w:sz w:val="24"/>
              </w:rPr>
              <w:t>姓名</w:t>
            </w: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9DFDCB4">
            <w:pPr>
              <w:spacing w:line="500" w:lineRule="exact"/>
              <w:jc w:val="center"/>
              <w:rPr>
                <w:rFonts w:ascii="宋体" w:hAnsi="宋体"/>
                <w:sz w:val="24"/>
              </w:rPr>
            </w:pPr>
            <w:r>
              <w:rPr>
                <w:rStyle w:val="20"/>
                <w:rFonts w:hint="eastAsia" w:ascii="宋体" w:hAnsi="宋体" w:cs="??"/>
                <w:sz w:val="24"/>
              </w:rPr>
              <w:t>性</w:t>
            </w:r>
            <w:r>
              <w:rPr>
                <w:rStyle w:val="20"/>
                <w:rFonts w:hint="eastAsia" w:ascii="宋体" w:hAnsi="宋体" w:cs="宋体"/>
                <w:sz w:val="24"/>
              </w:rPr>
              <w:t>别</w:t>
            </w: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C22BC3B">
            <w:pPr>
              <w:spacing w:line="500" w:lineRule="exact"/>
              <w:jc w:val="center"/>
              <w:rPr>
                <w:rFonts w:ascii="宋体" w:hAnsi="宋体"/>
                <w:sz w:val="24"/>
              </w:rPr>
            </w:pPr>
            <w:r>
              <w:rPr>
                <w:rStyle w:val="20"/>
                <w:rFonts w:hint="eastAsia" w:ascii="宋体" w:hAnsi="宋体" w:cs="??"/>
                <w:sz w:val="24"/>
              </w:rPr>
              <w:t>年</w:t>
            </w:r>
            <w:r>
              <w:rPr>
                <w:rStyle w:val="20"/>
                <w:rFonts w:hint="eastAsia" w:ascii="宋体" w:hAnsi="宋体" w:cs="宋体"/>
                <w:sz w:val="24"/>
              </w:rPr>
              <w:t>龄</w:t>
            </w: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B9C1147">
            <w:pPr>
              <w:spacing w:line="500" w:lineRule="exact"/>
              <w:jc w:val="center"/>
              <w:rPr>
                <w:rStyle w:val="20"/>
                <w:rFonts w:ascii="宋体" w:hAnsi="宋体" w:cs="宋体"/>
                <w:sz w:val="24"/>
              </w:rPr>
            </w:pPr>
            <w:r>
              <w:rPr>
                <w:rStyle w:val="20"/>
                <w:rFonts w:hint="eastAsia" w:ascii="宋体" w:hAnsi="宋体" w:cs="宋体"/>
                <w:sz w:val="24"/>
              </w:rPr>
              <w:t>职务</w:t>
            </w:r>
          </w:p>
          <w:p w14:paraId="6D4FB592">
            <w:pPr>
              <w:spacing w:line="500" w:lineRule="exact"/>
              <w:jc w:val="center"/>
              <w:rPr>
                <w:rFonts w:ascii="宋体" w:hAnsi="宋体"/>
                <w:sz w:val="24"/>
              </w:rPr>
            </w:pPr>
            <w:r>
              <w:rPr>
                <w:rStyle w:val="20"/>
                <w:rFonts w:hint="eastAsia" w:ascii="宋体" w:hAnsi="宋体" w:cs="宋体"/>
                <w:sz w:val="24"/>
              </w:rPr>
              <w:t>职</w:t>
            </w:r>
            <w:r>
              <w:rPr>
                <w:rStyle w:val="20"/>
                <w:rFonts w:hint="eastAsia" w:ascii="宋体" w:hAnsi="宋体" w:cs="??"/>
                <w:sz w:val="24"/>
              </w:rPr>
              <w:t>称</w:t>
            </w: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5F587A5">
            <w:pPr>
              <w:spacing w:line="500" w:lineRule="exact"/>
              <w:jc w:val="center"/>
              <w:rPr>
                <w:rFonts w:ascii="宋体" w:hAnsi="宋体"/>
                <w:sz w:val="24"/>
              </w:rPr>
            </w:pPr>
            <w:r>
              <w:rPr>
                <w:rStyle w:val="20"/>
                <w:rFonts w:hint="eastAsia" w:ascii="宋体" w:hAnsi="宋体" w:cs="宋体"/>
                <w:sz w:val="24"/>
              </w:rPr>
              <w:t>专业</w:t>
            </w: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761841B">
            <w:pPr>
              <w:spacing w:line="500" w:lineRule="exact"/>
              <w:jc w:val="center"/>
              <w:rPr>
                <w:rFonts w:ascii="宋体" w:hAnsi="宋体"/>
                <w:sz w:val="24"/>
              </w:rPr>
            </w:pPr>
            <w:r>
              <w:rPr>
                <w:rStyle w:val="20"/>
                <w:rFonts w:hint="eastAsia" w:ascii="宋体" w:hAnsi="宋体" w:cs="??"/>
                <w:sz w:val="24"/>
              </w:rPr>
              <w:t>学</w:t>
            </w:r>
            <w:r>
              <w:rPr>
                <w:rStyle w:val="20"/>
                <w:rFonts w:hint="eastAsia" w:ascii="宋体" w:hAnsi="宋体" w:cs="宋体"/>
                <w:sz w:val="24"/>
              </w:rPr>
              <w:t>历</w:t>
            </w: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315DE5E">
            <w:pPr>
              <w:spacing w:line="500" w:lineRule="exact"/>
              <w:jc w:val="center"/>
              <w:rPr>
                <w:rFonts w:ascii="宋体" w:hAnsi="宋体"/>
                <w:sz w:val="24"/>
              </w:rPr>
            </w:pPr>
            <w:r>
              <w:rPr>
                <w:rStyle w:val="20"/>
                <w:rFonts w:hint="eastAsia" w:ascii="宋体" w:hAnsi="宋体" w:cs="??"/>
                <w:sz w:val="24"/>
              </w:rPr>
              <w:t>从事相关工作年限</w:t>
            </w:r>
          </w:p>
        </w:tc>
        <w:tc>
          <w:tcPr>
            <w:tcW w:w="1843" w:type="dxa"/>
            <w:tcBorders>
              <w:top w:val="single" w:color="000000" w:sz="4" w:space="0"/>
              <w:left w:val="single" w:color="000000" w:sz="4" w:space="0"/>
              <w:bottom w:val="single" w:color="000000" w:sz="4" w:space="0"/>
              <w:right w:val="single" w:color="000000" w:sz="4" w:space="0"/>
            </w:tcBorders>
            <w:vAlign w:val="center"/>
          </w:tcPr>
          <w:p w14:paraId="09009ED5">
            <w:pPr>
              <w:spacing w:line="500" w:lineRule="exact"/>
              <w:jc w:val="center"/>
              <w:rPr>
                <w:rStyle w:val="20"/>
                <w:rFonts w:ascii="宋体" w:hAnsi="宋体" w:cs="??"/>
                <w:sz w:val="24"/>
              </w:rPr>
            </w:pPr>
            <w:r>
              <w:rPr>
                <w:rStyle w:val="20"/>
                <w:rFonts w:hint="eastAsia" w:ascii="宋体" w:hAnsi="宋体" w:cs="??"/>
                <w:sz w:val="24"/>
              </w:rPr>
              <w:t>备注</w:t>
            </w:r>
          </w:p>
        </w:tc>
      </w:tr>
      <w:tr w14:paraId="7D3B29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33DE89F">
            <w:pPr>
              <w:jc w:val="center"/>
              <w:rPr>
                <w:rFonts w:ascii="宋体" w:hAnsi="宋体"/>
                <w:sz w:val="24"/>
              </w:rPr>
            </w:pP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911C98A">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A6DB2AA">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D6BF429">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182788C">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55780C8">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8F43E0A">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CFCE71E">
            <w:pPr>
              <w:jc w:val="center"/>
              <w:rPr>
                <w:rFonts w:ascii="宋体" w:hAnsi="宋体"/>
                <w:sz w:val="24"/>
              </w:rPr>
            </w:pPr>
          </w:p>
        </w:tc>
      </w:tr>
      <w:tr w14:paraId="01A477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1B188B9">
            <w:pPr>
              <w:jc w:val="center"/>
              <w:rPr>
                <w:rFonts w:ascii="宋体" w:hAnsi="宋体"/>
                <w:sz w:val="24"/>
              </w:rPr>
            </w:pP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2D715B8">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0691EFE">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BD6C686">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98ACAC3">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C916AA3">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1B4DA36">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2243224">
            <w:pPr>
              <w:jc w:val="center"/>
              <w:rPr>
                <w:rFonts w:ascii="宋体" w:hAnsi="宋体"/>
                <w:sz w:val="24"/>
              </w:rPr>
            </w:pPr>
          </w:p>
        </w:tc>
      </w:tr>
      <w:tr w14:paraId="730379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D98B72E">
            <w:pPr>
              <w:jc w:val="center"/>
              <w:rPr>
                <w:rFonts w:ascii="宋体" w:hAnsi="宋体"/>
                <w:sz w:val="24"/>
              </w:rPr>
            </w:pP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6B82686">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1AA943E">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8060180">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9746E1B">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2B0DD26">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620BE64">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134D606">
            <w:pPr>
              <w:jc w:val="center"/>
              <w:rPr>
                <w:rFonts w:ascii="宋体" w:hAnsi="宋体"/>
                <w:sz w:val="24"/>
              </w:rPr>
            </w:pPr>
          </w:p>
        </w:tc>
      </w:tr>
      <w:tr w14:paraId="0B7393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7683E99">
            <w:pPr>
              <w:jc w:val="center"/>
              <w:rPr>
                <w:rFonts w:ascii="宋体" w:hAnsi="宋体"/>
                <w:sz w:val="24"/>
              </w:rPr>
            </w:pP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5366FE4">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46F3E6B">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ABA5861">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9DD3BFB">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752F59C">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4A52AF3">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F6D9ED7">
            <w:pPr>
              <w:jc w:val="center"/>
              <w:rPr>
                <w:rFonts w:ascii="宋体" w:hAnsi="宋体"/>
                <w:sz w:val="24"/>
              </w:rPr>
            </w:pPr>
          </w:p>
        </w:tc>
      </w:tr>
      <w:tr w14:paraId="516E46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BFD8058">
            <w:pPr>
              <w:jc w:val="center"/>
              <w:rPr>
                <w:rFonts w:ascii="宋体" w:hAnsi="宋体"/>
                <w:sz w:val="24"/>
              </w:rPr>
            </w:pP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731AD19">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7CA7F1C">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E7B25B8">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562E7CD">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E6362CA">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5D1A585">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6C79365">
            <w:pPr>
              <w:jc w:val="center"/>
              <w:rPr>
                <w:rFonts w:ascii="宋体" w:hAnsi="宋体"/>
                <w:sz w:val="24"/>
              </w:rPr>
            </w:pPr>
          </w:p>
        </w:tc>
      </w:tr>
      <w:tr w14:paraId="33F7F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0" w:hRule="atLeast"/>
          <w:jc w:val="center"/>
        </w:trPr>
        <w:tc>
          <w:tcPr>
            <w:tcW w:w="118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E8EFC64">
            <w:pPr>
              <w:jc w:val="center"/>
              <w:rPr>
                <w:rFonts w:ascii="宋体" w:hAnsi="宋体"/>
                <w:sz w:val="24"/>
              </w:rPr>
            </w:pPr>
            <w:r>
              <w:rPr>
                <w:rFonts w:ascii="宋体" w:hAnsi="宋体"/>
                <w:sz w:val="24"/>
              </w:rPr>
              <w:t>…</w:t>
            </w:r>
          </w:p>
        </w:tc>
        <w:tc>
          <w:tcPr>
            <w:tcW w:w="8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E753331">
            <w:pPr>
              <w:jc w:val="center"/>
              <w:rPr>
                <w:rFonts w:ascii="宋体" w:hAnsi="宋体"/>
                <w:sz w:val="24"/>
              </w:rPr>
            </w:pPr>
          </w:p>
        </w:tc>
        <w:tc>
          <w:tcPr>
            <w:tcW w:w="99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1398E62">
            <w:pPr>
              <w:jc w:val="center"/>
              <w:rPr>
                <w:rFonts w:ascii="宋体" w:hAnsi="宋体"/>
                <w:sz w:val="24"/>
              </w:rPr>
            </w:pPr>
          </w:p>
        </w:tc>
        <w:tc>
          <w:tcPr>
            <w:tcW w:w="127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8180630">
            <w:pPr>
              <w:jc w:val="center"/>
              <w:rPr>
                <w:rFonts w:ascii="宋体" w:hAnsi="宋体"/>
                <w:sz w:val="24"/>
              </w:rPr>
            </w:pPr>
          </w:p>
        </w:tc>
        <w:tc>
          <w:tcPr>
            <w:tcW w:w="126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CB24F4D">
            <w:pPr>
              <w:jc w:val="center"/>
              <w:rPr>
                <w:rFonts w:ascii="宋体" w:hAnsi="宋体"/>
                <w:sz w:val="24"/>
              </w:rPr>
            </w:pPr>
          </w:p>
        </w:tc>
        <w:tc>
          <w:tcPr>
            <w:tcW w:w="113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F994471">
            <w:pPr>
              <w:jc w:val="center"/>
              <w:rPr>
                <w:rFonts w:ascii="宋体" w:hAnsi="宋体"/>
                <w:sz w:val="24"/>
              </w:rPr>
            </w:pPr>
          </w:p>
        </w:tc>
        <w:tc>
          <w:tcPr>
            <w:tcW w:w="127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5E38C7A">
            <w:pPr>
              <w:jc w:val="center"/>
              <w:rPr>
                <w:rFonts w:ascii="宋体" w:hAnsi="宋体"/>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590ED99">
            <w:pPr>
              <w:jc w:val="center"/>
              <w:rPr>
                <w:rFonts w:ascii="宋体" w:hAnsi="宋体"/>
                <w:sz w:val="24"/>
              </w:rPr>
            </w:pPr>
          </w:p>
        </w:tc>
      </w:tr>
    </w:tbl>
    <w:p w14:paraId="577BFD97">
      <w:pPr>
        <w:pStyle w:val="30"/>
        <w:rPr>
          <w:rStyle w:val="29"/>
          <w:rFonts w:ascii="宋体" w:hAnsi="宋体"/>
          <w:b/>
          <w:sz w:val="32"/>
          <w:szCs w:val="32"/>
        </w:rPr>
      </w:pPr>
      <w:r>
        <w:rPr>
          <w:rFonts w:hint="eastAsia"/>
        </w:rPr>
        <w:t>注：人员一旦确定，中标后原则上不再变更，如需变更需征得采购人同意。</w:t>
      </w:r>
    </w:p>
    <w:p w14:paraId="4ABC609F">
      <w:pPr>
        <w:ind w:firstLine="3960"/>
        <w:rPr>
          <w:rStyle w:val="31"/>
          <w:rFonts w:ascii="宋体" w:hAnsi="宋体" w:cs="宋体"/>
          <w:sz w:val="24"/>
          <w:u w:val="single"/>
        </w:rPr>
      </w:pPr>
      <w:r>
        <w:rPr>
          <w:rFonts w:hint="eastAsia" w:ascii="宋体" w:hAnsi="宋体"/>
          <w:sz w:val="24"/>
          <w:szCs w:val="21"/>
        </w:rPr>
        <w:t>供应商全称（加盖CA电子公章）</w:t>
      </w:r>
      <w:r>
        <w:rPr>
          <w:rFonts w:hint="eastAsia" w:ascii="宋体" w:hAnsi="宋体" w:cs="宋体"/>
          <w:sz w:val="24"/>
        </w:rPr>
        <w:t>：</w:t>
      </w:r>
    </w:p>
    <w:p w14:paraId="37D39AA4">
      <w:pPr>
        <w:ind w:firstLine="3465"/>
        <w:rPr>
          <w:rStyle w:val="29"/>
          <w:rFonts w:ascii="宋体" w:hAnsi="宋体"/>
          <w:b/>
          <w:sz w:val="32"/>
          <w:szCs w:val="32"/>
        </w:rPr>
      </w:pPr>
      <w:r>
        <w:rPr>
          <w:rFonts w:hint="eastAsia"/>
        </w:rPr>
        <w:t xml:space="preserve">     </w:t>
      </w:r>
      <w:r>
        <w:rPr>
          <w:rFonts w:hint="eastAsia" w:ascii="宋体" w:hAnsi="宋体"/>
          <w:sz w:val="24"/>
          <w:szCs w:val="21"/>
        </w:rPr>
        <w:t>日  期：</w:t>
      </w:r>
    </w:p>
    <w:p w14:paraId="2FD1B9F3">
      <w:pPr>
        <w:pStyle w:val="16"/>
        <w:tabs>
          <w:tab w:val="left" w:pos="2160"/>
        </w:tabs>
        <w:spacing w:beforeAutospacing="0" w:afterAutospacing="0"/>
        <w:jc w:val="both"/>
        <w:rPr>
          <w:color w:val="auto"/>
          <w:sz w:val="24"/>
          <w:szCs w:val="24"/>
          <w:highlight w:val="none"/>
        </w:rPr>
      </w:pPr>
    </w:p>
    <w:p w14:paraId="02F9CD0D">
      <w:pPr>
        <w:widowControl/>
        <w:spacing w:line="499" w:lineRule="atLeast"/>
        <w:ind w:firstLine="1600"/>
        <w:rPr>
          <w:rFonts w:ascii="宋体" w:hAnsi="宋体" w:eastAsia="宋体" w:cs="宋体"/>
          <w:color w:val="auto"/>
          <w:sz w:val="32"/>
          <w:szCs w:val="32"/>
          <w:highlight w:val="none"/>
        </w:rPr>
      </w:pPr>
    </w:p>
    <w:p w14:paraId="7AA19623">
      <w:pPr>
        <w:widowControl/>
        <w:spacing w:line="499" w:lineRule="atLeast"/>
        <w:ind w:firstLine="1600"/>
        <w:rPr>
          <w:rFonts w:ascii="宋体" w:hAnsi="宋体" w:eastAsia="宋体" w:cs="宋体"/>
          <w:color w:val="auto"/>
          <w:sz w:val="32"/>
          <w:szCs w:val="32"/>
          <w:highlight w:val="none"/>
        </w:rPr>
      </w:pPr>
    </w:p>
    <w:p w14:paraId="31658210">
      <w:pPr>
        <w:widowControl/>
        <w:spacing w:line="499" w:lineRule="atLeast"/>
        <w:ind w:firstLine="1600"/>
        <w:rPr>
          <w:rFonts w:ascii="宋体" w:hAnsi="宋体" w:eastAsia="宋体" w:cs="宋体"/>
          <w:color w:val="auto"/>
          <w:sz w:val="32"/>
          <w:szCs w:val="32"/>
          <w:highlight w:val="none"/>
        </w:rPr>
      </w:pPr>
    </w:p>
    <w:p w14:paraId="6BC32E43">
      <w:pPr>
        <w:widowControl/>
        <w:spacing w:line="499" w:lineRule="atLeast"/>
        <w:ind w:firstLine="1600"/>
        <w:rPr>
          <w:rFonts w:ascii="宋体" w:hAnsi="宋体" w:eastAsia="宋体" w:cs="宋体"/>
          <w:color w:val="auto"/>
          <w:sz w:val="32"/>
          <w:szCs w:val="32"/>
          <w:highlight w:val="none"/>
        </w:rPr>
      </w:pPr>
    </w:p>
    <w:p w14:paraId="3C68865B">
      <w:pPr>
        <w:widowControl/>
        <w:spacing w:line="499" w:lineRule="atLeast"/>
        <w:ind w:firstLine="1600"/>
        <w:rPr>
          <w:rFonts w:ascii="宋体" w:hAnsi="宋体" w:eastAsia="宋体" w:cs="宋体"/>
          <w:color w:val="auto"/>
          <w:sz w:val="32"/>
          <w:szCs w:val="32"/>
          <w:highlight w:val="none"/>
        </w:rPr>
      </w:pPr>
    </w:p>
    <w:p w14:paraId="58C8BDB0">
      <w:pPr>
        <w:widowControl/>
        <w:spacing w:line="499" w:lineRule="atLeast"/>
        <w:ind w:firstLine="1600"/>
        <w:rPr>
          <w:rFonts w:ascii="宋体" w:hAnsi="宋体" w:eastAsia="宋体" w:cs="宋体"/>
          <w:color w:val="auto"/>
          <w:sz w:val="32"/>
          <w:szCs w:val="32"/>
          <w:highlight w:val="none"/>
        </w:rPr>
      </w:pPr>
    </w:p>
    <w:p w14:paraId="593A446F">
      <w:pPr>
        <w:widowControl/>
        <w:spacing w:line="499" w:lineRule="atLeast"/>
        <w:ind w:firstLine="1600"/>
        <w:rPr>
          <w:rFonts w:ascii="宋体" w:hAnsi="宋体" w:eastAsia="宋体" w:cs="宋体"/>
          <w:color w:val="auto"/>
          <w:sz w:val="32"/>
          <w:szCs w:val="32"/>
          <w:highlight w:val="none"/>
        </w:rPr>
      </w:pPr>
    </w:p>
    <w:p w14:paraId="07794BED">
      <w:pPr>
        <w:widowControl/>
        <w:spacing w:line="499" w:lineRule="atLeast"/>
        <w:ind w:firstLine="1600"/>
        <w:rPr>
          <w:rFonts w:ascii="宋体" w:hAnsi="宋体" w:eastAsia="宋体" w:cs="宋体"/>
          <w:color w:val="auto"/>
          <w:sz w:val="32"/>
          <w:szCs w:val="32"/>
          <w:highlight w:val="none"/>
        </w:rPr>
      </w:pPr>
    </w:p>
    <w:p w14:paraId="27B13C10">
      <w:pPr>
        <w:widowControl/>
        <w:spacing w:line="499" w:lineRule="atLeast"/>
        <w:ind w:firstLine="1600"/>
        <w:rPr>
          <w:rFonts w:ascii="宋体" w:hAnsi="宋体" w:eastAsia="宋体" w:cs="宋体"/>
          <w:color w:val="auto"/>
          <w:sz w:val="32"/>
          <w:szCs w:val="32"/>
          <w:highlight w:val="none"/>
        </w:rPr>
      </w:pPr>
    </w:p>
    <w:p w14:paraId="13C3A386">
      <w:pPr>
        <w:widowControl/>
        <w:spacing w:line="499" w:lineRule="atLeast"/>
        <w:ind w:firstLine="1600"/>
        <w:rPr>
          <w:rFonts w:ascii="宋体" w:hAnsi="宋体" w:eastAsia="宋体" w:cs="宋体"/>
          <w:color w:val="auto"/>
          <w:sz w:val="32"/>
          <w:szCs w:val="32"/>
          <w:highlight w:val="none"/>
        </w:rPr>
      </w:pPr>
    </w:p>
    <w:p w14:paraId="4BE0481D">
      <w:pPr>
        <w:spacing w:before="286" w:after="286" w:line="360" w:lineRule="auto"/>
        <w:jc w:val="center"/>
        <w:rPr>
          <w:rStyle w:val="29"/>
          <w:rFonts w:ascii="宋体" w:hAnsi="宋体"/>
          <w:b/>
          <w:sz w:val="32"/>
          <w:szCs w:val="32"/>
        </w:rPr>
      </w:pPr>
      <w:r>
        <w:rPr>
          <w:rStyle w:val="29"/>
          <w:rFonts w:hint="eastAsia" w:ascii="宋体" w:hAnsi="宋体"/>
          <w:b/>
          <w:sz w:val="32"/>
          <w:szCs w:val="32"/>
        </w:rPr>
        <w:t>十六、实施方案（格式自拟）</w:t>
      </w:r>
    </w:p>
    <w:p w14:paraId="1D0C574D">
      <w:pPr>
        <w:widowControl/>
        <w:spacing w:line="499" w:lineRule="atLeast"/>
        <w:ind w:firstLine="1600"/>
        <w:rPr>
          <w:rFonts w:ascii="宋体" w:hAnsi="宋体" w:eastAsia="宋体" w:cs="宋体"/>
          <w:color w:val="auto"/>
          <w:sz w:val="32"/>
          <w:szCs w:val="32"/>
          <w:highlight w:val="none"/>
        </w:rPr>
      </w:pPr>
    </w:p>
    <w:p w14:paraId="64017080">
      <w:pPr>
        <w:widowControl/>
        <w:spacing w:line="499" w:lineRule="atLeast"/>
        <w:ind w:firstLine="1600"/>
        <w:rPr>
          <w:rFonts w:ascii="宋体" w:hAnsi="宋体" w:eastAsia="宋体" w:cs="宋体"/>
          <w:color w:val="auto"/>
          <w:sz w:val="32"/>
          <w:szCs w:val="32"/>
          <w:highlight w:val="none"/>
        </w:rPr>
      </w:pPr>
    </w:p>
    <w:p w14:paraId="3966CDFA">
      <w:pPr>
        <w:widowControl/>
        <w:spacing w:line="499" w:lineRule="atLeast"/>
        <w:ind w:firstLine="1600"/>
        <w:rPr>
          <w:rFonts w:ascii="宋体" w:hAnsi="宋体" w:eastAsia="宋体" w:cs="宋体"/>
          <w:color w:val="auto"/>
          <w:sz w:val="32"/>
          <w:szCs w:val="32"/>
          <w:highlight w:val="none"/>
        </w:rPr>
      </w:pPr>
    </w:p>
    <w:p w14:paraId="79424832">
      <w:pPr>
        <w:widowControl/>
        <w:spacing w:line="499" w:lineRule="atLeast"/>
        <w:ind w:firstLine="1600"/>
        <w:rPr>
          <w:rFonts w:ascii="宋体" w:hAnsi="宋体" w:eastAsia="宋体" w:cs="宋体"/>
          <w:color w:val="auto"/>
          <w:sz w:val="32"/>
          <w:szCs w:val="32"/>
          <w:highlight w:val="none"/>
        </w:rPr>
      </w:pPr>
    </w:p>
    <w:p w14:paraId="2AA4278C">
      <w:pPr>
        <w:widowControl/>
        <w:spacing w:line="499" w:lineRule="atLeast"/>
        <w:ind w:firstLine="1600"/>
        <w:rPr>
          <w:rFonts w:ascii="宋体" w:hAnsi="宋体" w:eastAsia="宋体" w:cs="宋体"/>
          <w:color w:val="auto"/>
          <w:sz w:val="32"/>
          <w:szCs w:val="32"/>
          <w:highlight w:val="none"/>
        </w:rPr>
      </w:pPr>
    </w:p>
    <w:p w14:paraId="0A99C98C">
      <w:pPr>
        <w:widowControl/>
        <w:spacing w:line="499" w:lineRule="atLeast"/>
        <w:ind w:firstLine="1600"/>
        <w:rPr>
          <w:rFonts w:ascii="宋体" w:hAnsi="宋体" w:eastAsia="宋体" w:cs="宋体"/>
          <w:color w:val="auto"/>
          <w:sz w:val="32"/>
          <w:szCs w:val="32"/>
          <w:highlight w:val="none"/>
        </w:rPr>
      </w:pPr>
    </w:p>
    <w:p w14:paraId="14AA607D">
      <w:pPr>
        <w:widowControl/>
        <w:spacing w:line="499" w:lineRule="atLeast"/>
        <w:ind w:firstLine="1600"/>
        <w:rPr>
          <w:rFonts w:ascii="宋体" w:hAnsi="宋体" w:eastAsia="宋体" w:cs="宋体"/>
          <w:color w:val="auto"/>
          <w:sz w:val="32"/>
          <w:szCs w:val="32"/>
          <w:highlight w:val="none"/>
        </w:rPr>
      </w:pPr>
    </w:p>
    <w:p w14:paraId="0BFF09C9">
      <w:pPr>
        <w:widowControl/>
        <w:spacing w:line="499" w:lineRule="atLeast"/>
        <w:ind w:firstLine="1600"/>
        <w:rPr>
          <w:rFonts w:ascii="宋体" w:hAnsi="宋体" w:eastAsia="宋体" w:cs="宋体"/>
          <w:color w:val="auto"/>
          <w:sz w:val="32"/>
          <w:szCs w:val="32"/>
          <w:highlight w:val="none"/>
        </w:rPr>
      </w:pPr>
    </w:p>
    <w:p w14:paraId="6216D46F">
      <w:pPr>
        <w:widowControl/>
        <w:spacing w:line="499" w:lineRule="atLeast"/>
        <w:ind w:firstLine="1600"/>
        <w:rPr>
          <w:rFonts w:ascii="宋体" w:hAnsi="宋体" w:eastAsia="宋体" w:cs="宋体"/>
          <w:color w:val="auto"/>
          <w:sz w:val="32"/>
          <w:szCs w:val="32"/>
          <w:highlight w:val="none"/>
        </w:rPr>
      </w:pPr>
    </w:p>
    <w:p w14:paraId="3E6E6E39">
      <w:pPr>
        <w:widowControl/>
        <w:spacing w:line="499" w:lineRule="atLeast"/>
        <w:ind w:firstLine="1600"/>
        <w:rPr>
          <w:rFonts w:ascii="宋体" w:hAnsi="宋体" w:eastAsia="宋体" w:cs="宋体"/>
          <w:color w:val="auto"/>
          <w:sz w:val="32"/>
          <w:szCs w:val="32"/>
          <w:highlight w:val="none"/>
        </w:rPr>
      </w:pPr>
    </w:p>
    <w:p w14:paraId="78871E1B">
      <w:pPr>
        <w:widowControl/>
        <w:spacing w:line="499" w:lineRule="atLeast"/>
        <w:ind w:firstLine="1600"/>
        <w:rPr>
          <w:rFonts w:ascii="宋体" w:hAnsi="宋体" w:eastAsia="宋体" w:cs="宋体"/>
          <w:color w:val="auto"/>
          <w:sz w:val="32"/>
          <w:szCs w:val="32"/>
          <w:highlight w:val="none"/>
        </w:rPr>
      </w:pPr>
    </w:p>
    <w:p w14:paraId="7A3BE605">
      <w:pPr>
        <w:widowControl/>
        <w:spacing w:line="499" w:lineRule="atLeast"/>
        <w:ind w:firstLine="1600"/>
        <w:rPr>
          <w:rFonts w:ascii="宋体" w:hAnsi="宋体" w:eastAsia="宋体" w:cs="宋体"/>
          <w:color w:val="auto"/>
          <w:sz w:val="32"/>
          <w:szCs w:val="32"/>
          <w:highlight w:val="none"/>
        </w:rPr>
      </w:pPr>
    </w:p>
    <w:p w14:paraId="4B6A6B21">
      <w:pPr>
        <w:widowControl/>
        <w:spacing w:line="499" w:lineRule="atLeast"/>
        <w:ind w:firstLine="1600"/>
        <w:rPr>
          <w:rFonts w:ascii="宋体" w:hAnsi="宋体" w:eastAsia="宋体" w:cs="宋体"/>
          <w:color w:val="auto"/>
          <w:sz w:val="32"/>
          <w:szCs w:val="32"/>
          <w:highlight w:val="none"/>
        </w:rPr>
      </w:pPr>
    </w:p>
    <w:p w14:paraId="1192F25A">
      <w:pPr>
        <w:widowControl/>
        <w:spacing w:line="499" w:lineRule="atLeast"/>
        <w:ind w:firstLine="1600"/>
        <w:rPr>
          <w:rFonts w:ascii="宋体" w:hAnsi="宋体" w:eastAsia="宋体" w:cs="宋体"/>
          <w:color w:val="auto"/>
          <w:sz w:val="32"/>
          <w:szCs w:val="32"/>
          <w:highlight w:val="none"/>
        </w:rPr>
      </w:pPr>
    </w:p>
    <w:p w14:paraId="15A29EA8">
      <w:pPr>
        <w:widowControl/>
        <w:spacing w:line="499" w:lineRule="atLeast"/>
        <w:ind w:firstLine="1600"/>
        <w:rPr>
          <w:rFonts w:ascii="宋体" w:hAnsi="宋体" w:eastAsia="宋体" w:cs="宋体"/>
          <w:color w:val="auto"/>
          <w:sz w:val="32"/>
          <w:szCs w:val="32"/>
          <w:highlight w:val="none"/>
        </w:rPr>
      </w:pPr>
    </w:p>
    <w:p w14:paraId="3CE4EBC4">
      <w:pPr>
        <w:widowControl/>
        <w:spacing w:line="499" w:lineRule="atLeast"/>
        <w:ind w:firstLine="1600"/>
        <w:rPr>
          <w:rFonts w:ascii="宋体" w:hAnsi="宋体" w:eastAsia="宋体" w:cs="宋体"/>
          <w:color w:val="auto"/>
          <w:sz w:val="32"/>
          <w:szCs w:val="32"/>
          <w:highlight w:val="none"/>
        </w:rPr>
      </w:pPr>
    </w:p>
    <w:p w14:paraId="386E8481">
      <w:pPr>
        <w:widowControl/>
        <w:spacing w:line="499" w:lineRule="atLeast"/>
        <w:ind w:firstLine="1600"/>
        <w:rPr>
          <w:rFonts w:ascii="宋体" w:hAnsi="宋体" w:eastAsia="宋体" w:cs="宋体"/>
          <w:color w:val="auto"/>
          <w:sz w:val="32"/>
          <w:szCs w:val="32"/>
          <w:highlight w:val="none"/>
        </w:rPr>
      </w:pPr>
    </w:p>
    <w:p w14:paraId="0983B32A">
      <w:pPr>
        <w:widowControl/>
        <w:spacing w:line="499" w:lineRule="atLeast"/>
        <w:ind w:firstLine="1600"/>
        <w:rPr>
          <w:rFonts w:ascii="宋体" w:hAnsi="宋体" w:eastAsia="宋体" w:cs="宋体"/>
          <w:color w:val="auto"/>
          <w:sz w:val="32"/>
          <w:szCs w:val="32"/>
          <w:highlight w:val="none"/>
        </w:rPr>
      </w:pPr>
    </w:p>
    <w:p w14:paraId="662287E2">
      <w:pPr>
        <w:widowControl/>
        <w:spacing w:line="499" w:lineRule="atLeast"/>
        <w:ind w:firstLine="1600"/>
        <w:rPr>
          <w:rFonts w:ascii="宋体" w:hAnsi="宋体" w:eastAsia="宋体" w:cs="宋体"/>
          <w:color w:val="auto"/>
          <w:sz w:val="32"/>
          <w:szCs w:val="32"/>
          <w:highlight w:val="none"/>
        </w:rPr>
      </w:pPr>
    </w:p>
    <w:p w14:paraId="2613D013">
      <w:pPr>
        <w:widowControl/>
        <w:spacing w:before="50" w:after="50"/>
        <w:jc w:val="cente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十七、盐城市政府采购事前信用承诺书</w:t>
      </w:r>
    </w:p>
    <w:p w14:paraId="3D56904B">
      <w:pPr>
        <w:widowControl/>
        <w:spacing w:line="499" w:lineRule="atLeast"/>
        <w:ind w:firstLine="640"/>
        <w:jc w:val="left"/>
        <w:rPr>
          <w:rFonts w:ascii="宋体" w:hAnsi="宋体" w:eastAsia="宋体" w:cs="宋体"/>
          <w:color w:val="auto"/>
          <w:sz w:val="24"/>
          <w:szCs w:val="24"/>
          <w:highlight w:val="none"/>
        </w:rPr>
      </w:pPr>
      <w:r>
        <w:rPr>
          <w:rFonts w:hint="eastAsia" w:ascii="宋体" w:hAnsi="宋体" w:eastAsia="宋体" w:cs="宋体"/>
          <w:color w:val="auto"/>
          <w:sz w:val="32"/>
          <w:szCs w:val="32"/>
          <w:highlight w:val="none"/>
        </w:rPr>
        <w:t> </w:t>
      </w:r>
    </w:p>
    <w:p w14:paraId="1A73DC38">
      <w:pPr>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虚假成分</w:t>
      </w:r>
      <w:r>
        <w:rPr>
          <w:rFonts w:hint="eastAsia" w:ascii="宋体" w:hAnsi="宋体" w:eastAsia="宋体" w:cs="宋体"/>
          <w:color w:val="auto"/>
          <w:sz w:val="24"/>
          <w:szCs w:val="24"/>
          <w:highlight w:val="none"/>
        </w:rPr>
        <w:t>，并对所提供资料的真实性负责；</w:t>
      </w:r>
    </w:p>
    <w:p w14:paraId="5E36E09B">
      <w:pPr>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（四）严格遵守即时信息公示规定，及时</w:t>
      </w:r>
      <w:r>
        <w:rPr>
          <w:rFonts w:hint="eastAsia" w:ascii="宋体" w:hAnsi="宋体" w:eastAsia="宋体" w:cs="宋体"/>
          <w:color w:val="auto"/>
          <w:sz w:val="24"/>
          <w:szCs w:val="24"/>
          <w:highlight w:val="none"/>
          <w:lang w:eastAsia="zh-CN"/>
        </w:rPr>
        <w:t>维护和更新</w:t>
      </w:r>
      <w:r>
        <w:rPr>
          <w:rFonts w:hint="eastAsia" w:ascii="宋体" w:hAnsi="宋体" w:eastAsia="宋体" w:cs="宋体"/>
          <w:color w:val="auto"/>
          <w:sz w:val="24"/>
          <w:szCs w:val="24"/>
          <w:highlight w:val="none"/>
        </w:rPr>
        <w:t>盐城市政府采购网中与本单位相关的信息；</w:t>
      </w:r>
    </w:p>
    <w:p w14:paraId="75BF0283">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（八）本人已认真阅读了上述承诺，并向本单位员工作了宣传教育。</w:t>
      </w:r>
    </w:p>
    <w:p w14:paraId="66F3779A">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法定代表人签名：</w:t>
      </w:r>
    </w:p>
    <w:p w14:paraId="204A50F5">
      <w:pPr>
        <w:widowControl/>
        <w:spacing w:line="499" w:lineRule="atLeas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单位名称（盖章）：</w:t>
      </w:r>
    </w:p>
    <w:p w14:paraId="69E80341">
      <w:pPr>
        <w:widowControl/>
        <w:spacing w:line="499" w:lineRule="atLeas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年月日</w:t>
      </w:r>
    </w:p>
    <w:p w14:paraId="22DA320C">
      <w:pPr>
        <w:pStyle w:val="16"/>
        <w:spacing w:beforeAutospacing="0" w:afterAutospacing="0"/>
        <w:jc w:val="center"/>
        <w:rPr>
          <w:color w:val="auto"/>
          <w:sz w:val="24"/>
          <w:szCs w:val="24"/>
          <w:highlight w:val="none"/>
        </w:rPr>
      </w:pPr>
    </w:p>
    <w:p w14:paraId="63374249">
      <w:pPr>
        <w:rPr>
          <w:rFonts w:hint="eastAsia" w:ascii="宋体" w:hAnsi="宋体"/>
          <w:b/>
          <w:bCs/>
          <w:sz w:val="30"/>
          <w:szCs w:val="30"/>
        </w:rPr>
      </w:pPr>
    </w:p>
    <w:p w14:paraId="58E58F66">
      <w:pPr>
        <w:jc w:val="center"/>
        <w:rPr>
          <w:color w:val="auto"/>
          <w:sz w:val="21"/>
          <w:szCs w:val="24"/>
          <w:highlight w:val="none"/>
        </w:rPr>
      </w:pPr>
      <w:r>
        <w:rPr>
          <w:rFonts w:hint="eastAsia" w:ascii="宋体" w:hAnsi="宋体"/>
          <w:b/>
          <w:bCs/>
          <w:sz w:val="30"/>
          <w:szCs w:val="30"/>
        </w:rPr>
        <w:t>十八、评标办法中要求的提供的相关证明材料</w:t>
      </w:r>
    </w:p>
    <w:p w14:paraId="4C51506B">
      <w:pPr>
        <w:pStyle w:val="16"/>
        <w:spacing w:beforeAutospacing="0" w:afterAutospacing="0"/>
        <w:jc w:val="center"/>
        <w:rPr>
          <w:rFonts w:hint="eastAsia" w:ascii="宋体" w:hAnsi="宋体" w:eastAsia="宋体" w:cs="宋体"/>
          <w:b/>
          <w:color w:val="auto"/>
          <w:sz w:val="32"/>
          <w:szCs w:val="32"/>
          <w:highlight w:val="none"/>
        </w:rPr>
      </w:pPr>
    </w:p>
    <w:p w14:paraId="6F9F7DC5">
      <w:pPr>
        <w:pStyle w:val="16"/>
        <w:spacing w:beforeAutospacing="0" w:afterAutospacing="0"/>
        <w:jc w:val="center"/>
        <w:rPr>
          <w:rFonts w:hint="eastAsia" w:ascii="宋体" w:hAnsi="宋体" w:eastAsia="宋体" w:cs="宋体"/>
          <w:b/>
          <w:color w:val="auto"/>
          <w:sz w:val="32"/>
          <w:szCs w:val="32"/>
          <w:highlight w:val="none"/>
        </w:rPr>
      </w:pPr>
    </w:p>
    <w:p w14:paraId="6D4E1146">
      <w:pPr>
        <w:pStyle w:val="16"/>
        <w:spacing w:beforeAutospacing="0" w:afterAutospacing="0"/>
        <w:jc w:val="center"/>
        <w:rPr>
          <w:rFonts w:hint="eastAsia" w:ascii="宋体" w:hAnsi="宋体" w:eastAsia="宋体" w:cs="宋体"/>
          <w:b/>
          <w:color w:val="auto"/>
          <w:sz w:val="32"/>
          <w:szCs w:val="32"/>
          <w:highlight w:val="none"/>
        </w:rPr>
      </w:pPr>
    </w:p>
    <w:p w14:paraId="06704018">
      <w:pPr>
        <w:pStyle w:val="16"/>
        <w:spacing w:beforeAutospacing="0" w:afterAutospacing="0"/>
        <w:jc w:val="center"/>
        <w:rPr>
          <w:rFonts w:hint="eastAsia" w:ascii="宋体" w:hAnsi="宋体" w:eastAsia="宋体" w:cs="宋体"/>
          <w:b/>
          <w:color w:val="auto"/>
          <w:sz w:val="32"/>
          <w:szCs w:val="32"/>
          <w:highlight w:val="none"/>
        </w:rPr>
      </w:pPr>
    </w:p>
    <w:p w14:paraId="08B27D47">
      <w:pPr>
        <w:pStyle w:val="16"/>
        <w:spacing w:beforeAutospacing="0" w:afterAutospacing="0"/>
        <w:jc w:val="center"/>
        <w:rPr>
          <w:rFonts w:hint="eastAsia" w:ascii="宋体" w:hAnsi="宋体" w:eastAsia="宋体" w:cs="宋体"/>
          <w:b/>
          <w:color w:val="auto"/>
          <w:sz w:val="32"/>
          <w:szCs w:val="32"/>
          <w:highlight w:val="none"/>
        </w:rPr>
      </w:pPr>
    </w:p>
    <w:p w14:paraId="076BCC67">
      <w:pPr>
        <w:pStyle w:val="16"/>
        <w:spacing w:beforeAutospacing="0" w:afterAutospacing="0"/>
        <w:jc w:val="center"/>
        <w:rPr>
          <w:rFonts w:hint="eastAsia" w:ascii="宋体" w:hAnsi="宋体" w:eastAsia="宋体" w:cs="宋体"/>
          <w:b/>
          <w:color w:val="auto"/>
          <w:sz w:val="32"/>
          <w:szCs w:val="32"/>
          <w:highlight w:val="none"/>
        </w:rPr>
      </w:pPr>
    </w:p>
    <w:p w14:paraId="2CCD4704">
      <w:pPr>
        <w:pStyle w:val="16"/>
        <w:spacing w:beforeAutospacing="0" w:afterAutospacing="0"/>
        <w:jc w:val="center"/>
        <w:rPr>
          <w:rFonts w:hint="eastAsia" w:ascii="宋体" w:hAnsi="宋体" w:eastAsia="宋体" w:cs="宋体"/>
          <w:b/>
          <w:color w:val="auto"/>
          <w:sz w:val="32"/>
          <w:szCs w:val="32"/>
          <w:highlight w:val="none"/>
        </w:rPr>
      </w:pPr>
    </w:p>
    <w:p w14:paraId="6C96DC42">
      <w:pPr>
        <w:pStyle w:val="16"/>
        <w:spacing w:beforeAutospacing="0" w:afterAutospacing="0"/>
        <w:jc w:val="center"/>
        <w:rPr>
          <w:rFonts w:hint="eastAsia" w:ascii="宋体" w:hAnsi="宋体" w:eastAsia="宋体" w:cs="宋体"/>
          <w:b/>
          <w:color w:val="auto"/>
          <w:sz w:val="32"/>
          <w:szCs w:val="32"/>
          <w:highlight w:val="none"/>
        </w:rPr>
      </w:pPr>
    </w:p>
    <w:p w14:paraId="2C178273">
      <w:pPr>
        <w:pStyle w:val="16"/>
        <w:spacing w:beforeAutospacing="0" w:afterAutospacing="0"/>
        <w:jc w:val="center"/>
        <w:rPr>
          <w:rFonts w:hint="eastAsia" w:ascii="宋体" w:hAnsi="宋体" w:eastAsia="宋体" w:cs="宋体"/>
          <w:b/>
          <w:color w:val="auto"/>
          <w:sz w:val="32"/>
          <w:szCs w:val="32"/>
          <w:highlight w:val="none"/>
        </w:rPr>
      </w:pPr>
    </w:p>
    <w:p w14:paraId="07985E69">
      <w:pPr>
        <w:pStyle w:val="16"/>
        <w:spacing w:beforeAutospacing="0" w:afterAutospacing="0"/>
        <w:jc w:val="center"/>
        <w:rPr>
          <w:rFonts w:hint="eastAsia" w:ascii="宋体" w:hAnsi="宋体" w:eastAsia="宋体" w:cs="宋体"/>
          <w:b/>
          <w:color w:val="auto"/>
          <w:sz w:val="32"/>
          <w:szCs w:val="32"/>
          <w:highlight w:val="none"/>
        </w:rPr>
      </w:pPr>
    </w:p>
    <w:p w14:paraId="7ED1A8C1">
      <w:pPr>
        <w:pStyle w:val="16"/>
        <w:spacing w:beforeAutospacing="0" w:afterAutospacing="0"/>
        <w:jc w:val="center"/>
        <w:rPr>
          <w:rFonts w:hint="eastAsia" w:ascii="宋体" w:hAnsi="宋体" w:eastAsia="宋体" w:cs="宋体"/>
          <w:b/>
          <w:color w:val="auto"/>
          <w:sz w:val="32"/>
          <w:szCs w:val="32"/>
          <w:highlight w:val="none"/>
        </w:rPr>
      </w:pPr>
    </w:p>
    <w:p w14:paraId="7447AFFE">
      <w:pPr>
        <w:pStyle w:val="16"/>
        <w:spacing w:beforeAutospacing="0" w:afterAutospacing="0"/>
        <w:jc w:val="center"/>
        <w:rPr>
          <w:rFonts w:hint="eastAsia" w:ascii="宋体" w:hAnsi="宋体" w:eastAsia="宋体" w:cs="宋体"/>
          <w:b/>
          <w:color w:val="auto"/>
          <w:sz w:val="32"/>
          <w:szCs w:val="32"/>
          <w:highlight w:val="none"/>
        </w:rPr>
      </w:pPr>
    </w:p>
    <w:p w14:paraId="000D58F9">
      <w:pPr>
        <w:pStyle w:val="16"/>
        <w:spacing w:beforeAutospacing="0" w:afterAutospacing="0"/>
        <w:jc w:val="center"/>
        <w:rPr>
          <w:rFonts w:hint="eastAsia" w:ascii="宋体" w:hAnsi="宋体" w:eastAsia="宋体" w:cs="宋体"/>
          <w:b/>
          <w:color w:val="auto"/>
          <w:sz w:val="32"/>
          <w:szCs w:val="32"/>
          <w:highlight w:val="none"/>
        </w:rPr>
      </w:pPr>
    </w:p>
    <w:p w14:paraId="748BE5E4">
      <w:pPr>
        <w:pStyle w:val="16"/>
        <w:spacing w:beforeAutospacing="0" w:afterAutospacing="0"/>
        <w:jc w:val="center"/>
        <w:rPr>
          <w:rFonts w:hint="eastAsia" w:ascii="宋体" w:hAnsi="宋体" w:eastAsia="宋体" w:cs="宋体"/>
          <w:b/>
          <w:color w:val="auto"/>
          <w:sz w:val="32"/>
          <w:szCs w:val="32"/>
          <w:highlight w:val="none"/>
        </w:rPr>
      </w:pPr>
    </w:p>
    <w:p w14:paraId="3B5D4106">
      <w:pPr>
        <w:pStyle w:val="16"/>
        <w:spacing w:beforeAutospacing="0" w:afterAutospacing="0"/>
        <w:jc w:val="center"/>
        <w:rPr>
          <w:rFonts w:hint="eastAsia" w:ascii="宋体" w:hAnsi="宋体" w:eastAsia="宋体" w:cs="宋体"/>
          <w:b/>
          <w:color w:val="auto"/>
          <w:sz w:val="32"/>
          <w:szCs w:val="32"/>
          <w:highlight w:val="none"/>
        </w:rPr>
      </w:pPr>
    </w:p>
    <w:p w14:paraId="30E86A29">
      <w:pPr>
        <w:pStyle w:val="16"/>
        <w:spacing w:beforeAutospacing="0" w:afterAutospacing="0"/>
        <w:jc w:val="center"/>
        <w:rPr>
          <w:rFonts w:hint="eastAsia" w:ascii="宋体" w:hAnsi="宋体" w:eastAsia="宋体" w:cs="宋体"/>
          <w:b/>
          <w:color w:val="auto"/>
          <w:sz w:val="32"/>
          <w:szCs w:val="32"/>
          <w:highlight w:val="none"/>
        </w:rPr>
      </w:pPr>
    </w:p>
    <w:p w14:paraId="5DCE26D0">
      <w:pPr>
        <w:pStyle w:val="16"/>
        <w:spacing w:beforeAutospacing="0" w:afterAutospacing="0"/>
        <w:jc w:val="center"/>
        <w:rPr>
          <w:rFonts w:hint="eastAsia" w:ascii="宋体" w:hAnsi="宋体" w:eastAsia="宋体" w:cs="宋体"/>
          <w:b/>
          <w:color w:val="auto"/>
          <w:sz w:val="32"/>
          <w:szCs w:val="32"/>
          <w:highlight w:val="none"/>
        </w:rPr>
      </w:pPr>
    </w:p>
    <w:p w14:paraId="3A756B39">
      <w:pPr>
        <w:pStyle w:val="16"/>
        <w:spacing w:beforeAutospacing="0" w:afterAutospacing="0"/>
        <w:jc w:val="center"/>
        <w:rPr>
          <w:rFonts w:hint="eastAsia" w:ascii="宋体" w:hAnsi="宋体" w:eastAsia="宋体" w:cs="宋体"/>
          <w:b/>
          <w:color w:val="auto"/>
          <w:sz w:val="32"/>
          <w:szCs w:val="32"/>
          <w:highlight w:val="none"/>
        </w:rPr>
      </w:pPr>
    </w:p>
    <w:p w14:paraId="2F81B9E7">
      <w:pPr>
        <w:pStyle w:val="16"/>
        <w:spacing w:beforeAutospacing="0" w:afterAutospacing="0"/>
        <w:jc w:val="center"/>
        <w:rPr>
          <w:rFonts w:hint="eastAsia" w:ascii="宋体" w:hAnsi="宋体" w:eastAsia="宋体" w:cs="宋体"/>
          <w:b/>
          <w:color w:val="auto"/>
          <w:sz w:val="32"/>
          <w:szCs w:val="32"/>
          <w:highlight w:val="none"/>
        </w:rPr>
      </w:pPr>
    </w:p>
    <w:p w14:paraId="5145138D">
      <w:pPr>
        <w:pStyle w:val="16"/>
        <w:spacing w:beforeAutospacing="0" w:afterAutospacing="0"/>
        <w:jc w:val="center"/>
        <w:rPr>
          <w:rFonts w:hint="eastAsia" w:ascii="宋体" w:hAnsi="宋体" w:eastAsia="宋体" w:cs="宋体"/>
          <w:b/>
          <w:color w:val="auto"/>
          <w:sz w:val="32"/>
          <w:szCs w:val="32"/>
          <w:highlight w:val="none"/>
        </w:rPr>
      </w:pPr>
    </w:p>
    <w:p w14:paraId="22CFB909">
      <w:pPr>
        <w:pStyle w:val="16"/>
        <w:spacing w:beforeAutospacing="0" w:afterAutospacing="0"/>
        <w:jc w:val="center"/>
        <w:rPr>
          <w:rFonts w:hint="eastAsia" w:ascii="宋体" w:hAnsi="宋体" w:eastAsia="宋体" w:cs="宋体"/>
          <w:b/>
          <w:color w:val="auto"/>
          <w:sz w:val="32"/>
          <w:szCs w:val="32"/>
          <w:highlight w:val="none"/>
        </w:rPr>
      </w:pPr>
    </w:p>
    <w:p w14:paraId="7A39BF98">
      <w:pPr>
        <w:pStyle w:val="16"/>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6"/>
        <w:spacing w:before="290"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一、质疑供应商基本信息</w:t>
      </w:r>
    </w:p>
    <w:p w14:paraId="31CCB093">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0B27368C">
      <w:pPr>
        <w:pStyle w:val="16"/>
        <w:spacing w:beforeAutospacing="0" w:afterAutospacing="0" w:line="360" w:lineRule="auto"/>
        <w:jc w:val="both"/>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w:t>
      </w:r>
    </w:p>
    <w:p w14:paraId="1A3DD351">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8DFFD04">
      <w:pPr>
        <w:pStyle w:val="16"/>
        <w:spacing w:beforeAutospacing="0" w:afterAutospacing="0" w:line="360" w:lineRule="auto"/>
        <w:jc w:val="both"/>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4B68A9BB">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4B52E9FC">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15C6DE67">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4845BA02">
      <w:pPr>
        <w:pStyle w:val="16"/>
        <w:spacing w:beforeAutospacing="0" w:afterAutospacing="0" w:line="360" w:lineRule="auto"/>
        <w:jc w:val="both"/>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5B924261">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A2FDD54">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二、质疑项目基本情况</w:t>
      </w:r>
    </w:p>
    <w:p w14:paraId="726433BD">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09AE9929">
      <w:pPr>
        <w:pStyle w:val="16"/>
        <w:spacing w:beforeAutospacing="0" w:afterAutospacing="0" w:line="360" w:lineRule="auto"/>
        <w:jc w:val="both"/>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p>
    <w:p w14:paraId="03E41B08">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55468CFE">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1DCED034">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文件获取日期：</w:t>
      </w:r>
      <w:r>
        <w:rPr>
          <w:rFonts w:hint="eastAsia" w:ascii="宋体" w:hAnsi="宋体" w:eastAsia="宋体" w:cs="宋体"/>
          <w:color w:val="auto"/>
          <w:sz w:val="24"/>
          <w:szCs w:val="24"/>
          <w:highlight w:val="none"/>
          <w:u w:val="single"/>
        </w:rPr>
        <w:t xml:space="preserve">                             </w:t>
      </w:r>
    </w:p>
    <w:p w14:paraId="3D1EFEF0">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三、质疑事项具体内容</w:t>
      </w:r>
    </w:p>
    <w:p w14:paraId="46043221">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2BEA6041">
      <w:pPr>
        <w:pStyle w:val="16"/>
        <w:spacing w:beforeAutospacing="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2C720598">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33F79D14">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质疑事项2</w:t>
      </w:r>
    </w:p>
    <w:p w14:paraId="20671B2B">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EE896A2">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四、与质疑事项相关的质疑请求</w:t>
      </w:r>
    </w:p>
    <w:p w14:paraId="3D34869A">
      <w:pPr>
        <w:pStyle w:val="16"/>
        <w:spacing w:beforeAutospacing="0" w:afterAutospacing="0" w:line="360" w:lineRule="auto"/>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4C2A48DF">
      <w:pPr>
        <w:pStyle w:val="16"/>
        <w:spacing w:beforeAutospacing="0" w:afterAutospacing="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p>
    <w:p w14:paraId="337B948A">
      <w:pPr>
        <w:pStyle w:val="16"/>
        <w:spacing w:beforeAutospacing="0" w:afterAutospacing="0" w:line="0" w:lineRule="atLeast"/>
        <w:jc w:val="both"/>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质疑函制作说明：</w:t>
      </w:r>
    </w:p>
    <w:p w14:paraId="1F9F995A">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6A90D8D0">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699B444D">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2686FE79">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41CC85A3">
      <w:pPr>
        <w:pStyle w:val="16"/>
        <w:widowControl/>
        <w:spacing w:beforeAutospacing="0" w:afterAutospacing="0" w:line="0" w:lineRule="atLeas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557C6C0">
      <w:pPr>
        <w:pStyle w:val="16"/>
        <w:spacing w:beforeAutospacing="0" w:afterAutospacing="0"/>
        <w:ind w:firstLine="42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CDAE952">
      <w:pPr>
        <w:rPr>
          <w:color w:val="auto"/>
          <w:sz w:val="21"/>
          <w:szCs w:val="24"/>
          <w:highlight w:val="none"/>
        </w:rPr>
      </w:pPr>
    </w:p>
    <w:p w14:paraId="214D313A">
      <w:pPr>
        <w:pStyle w:val="16"/>
        <w:spacing w:beforeAutospacing="0" w:afterAutospacing="0"/>
        <w:ind w:firstLine="420"/>
        <w:jc w:val="both"/>
        <w:rPr>
          <w:color w:val="auto"/>
          <w:sz w:val="24"/>
          <w:szCs w:val="24"/>
          <w:highlight w:val="none"/>
        </w:rPr>
      </w:pPr>
      <w:r>
        <w:rPr>
          <w:color w:val="auto"/>
          <w:sz w:val="24"/>
          <w:szCs w:val="24"/>
          <w:highlight w:val="none"/>
        </w:rPr>
        <w:t> </w:t>
      </w:r>
    </w:p>
    <w:bookmarkEnd w:id="7"/>
    <w:bookmarkEnd w:id="41"/>
    <w:bookmarkEnd w:id="88"/>
    <w:bookmarkEnd w:id="89"/>
    <w:bookmarkEnd w:id="90"/>
    <w:bookmarkEnd w:id="91"/>
    <w:bookmarkEnd w:id="92"/>
    <w:bookmarkEnd w:id="93"/>
    <w:bookmarkEnd w:id="94"/>
    <w:bookmarkEnd w:id="95"/>
    <w:bookmarkEnd w:id="104"/>
    <w:bookmarkEnd w:id="105"/>
    <w:bookmarkEnd w:id="112"/>
    <w:bookmarkEnd w:id="166"/>
    <w:bookmarkEnd w:id="167"/>
    <w:bookmarkEnd w:id="172"/>
    <w:bookmarkEnd w:id="173"/>
    <w:bookmarkEnd w:id="174"/>
    <w:bookmarkEnd w:id="175"/>
    <w:bookmarkEnd w:id="176"/>
    <w:bookmarkEnd w:id="177"/>
    <w:bookmarkEnd w:id="178"/>
    <w:bookmarkEnd w:id="179"/>
    <w:bookmarkEnd w:id="188"/>
    <w:bookmarkEnd w:id="189"/>
    <w:bookmarkEnd w:id="190"/>
    <w:bookmarkEnd w:id="191"/>
    <w:bookmarkEnd w:id="192"/>
    <w:p w14:paraId="3C3B6410">
      <w:pPr>
        <w:rPr>
          <w:color w:val="auto"/>
          <w:sz w:val="21"/>
          <w:szCs w:val="24"/>
          <w:highlight w:val="none"/>
        </w:rPr>
      </w:pPr>
    </w:p>
    <w:sectPr>
      <w:pgSz w:w="11906" w:h="16838"/>
      <w:pgMar w:top="1440" w:right="1134" w:bottom="1440"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56710">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E5AC7">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13A9A">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FB13A9A">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7823F">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340C75">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F340C75">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044E104C"/>
    <w:multiLevelType w:val="singleLevel"/>
    <w:tmpl w:val="044E104C"/>
    <w:lvl w:ilvl="0" w:tentative="0">
      <w:start w:val="18"/>
      <w:numFmt w:val="chineseCounting"/>
      <w:suff w:val="nothing"/>
      <w:lvlText w:val="%1、"/>
      <w:lvlJc w:val="left"/>
      <w:rPr>
        <w:rFonts w:hint="eastAsia"/>
      </w:rPr>
    </w:lvl>
  </w:abstractNum>
  <w:abstractNum w:abstractNumId="2">
    <w:nsid w:val="52979218"/>
    <w:multiLevelType w:val="singleLevel"/>
    <w:tmpl w:val="52979218"/>
    <w:lvl w:ilvl="0" w:tentative="0">
      <w:start w:val="2"/>
      <w:numFmt w:val="chineseCounting"/>
      <w:suff w:val="nothing"/>
      <w:lvlText w:val="%1、"/>
      <w:lvlJc w:val="left"/>
      <w:rPr>
        <w:rFonts w:hint="eastAsia"/>
      </w:rPr>
    </w:lvl>
  </w:abstractNum>
  <w:abstractNum w:abstractNumId="3">
    <w:nsid w:val="5ADA9D14"/>
    <w:multiLevelType w:val="singleLevel"/>
    <w:tmpl w:val="5ADA9D14"/>
    <w:lvl w:ilvl="0" w:tentative="0">
      <w:start w:val="6"/>
      <w:numFmt w:val="decimal"/>
      <w:suff w:val="nothing"/>
      <w:lvlText w:val="%1、"/>
      <w:lvlJc w:val="left"/>
    </w:lvl>
  </w:abstractNum>
  <w:abstractNum w:abstractNumId="4">
    <w:nsid w:val="5C9ADE84"/>
    <w:multiLevelType w:val="singleLevel"/>
    <w:tmpl w:val="5C9ADE84"/>
    <w:lvl w:ilvl="0" w:tentative="0">
      <w:start w:val="1"/>
      <w:numFmt w:val="decimal"/>
      <w:suff w:val="nothing"/>
      <w:lvlText w:val="（%1）"/>
      <w:lvlJc w:val="left"/>
    </w:lvl>
  </w:abstractNum>
  <w:abstractNum w:abstractNumId="5">
    <w:nsid w:val="6B5AA74C"/>
    <w:multiLevelType w:val="singleLevel"/>
    <w:tmpl w:val="6B5AA74C"/>
    <w:lvl w:ilvl="0" w:tentative="0">
      <w:start w:val="14"/>
      <w:numFmt w:val="chineseCounting"/>
      <w:suff w:val="nothing"/>
      <w:lvlText w:val="%1、"/>
      <w:lvlJc w:val="left"/>
      <w:rPr>
        <w:rFonts w:hint="eastAsia"/>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A5DBE"/>
    <w:rsid w:val="00E27CDE"/>
    <w:rsid w:val="00E551A0"/>
    <w:rsid w:val="00EB03C2"/>
    <w:rsid w:val="00EB1C0E"/>
    <w:rsid w:val="00F63BA2"/>
    <w:rsid w:val="00F71987"/>
    <w:rsid w:val="00FD0513"/>
    <w:rsid w:val="00FD2A7E"/>
    <w:rsid w:val="00FE5DE6"/>
    <w:rsid w:val="014036E0"/>
    <w:rsid w:val="015C3D17"/>
    <w:rsid w:val="01AA53CD"/>
    <w:rsid w:val="01AC62C4"/>
    <w:rsid w:val="01C74429"/>
    <w:rsid w:val="023A2E4D"/>
    <w:rsid w:val="02714395"/>
    <w:rsid w:val="02851591"/>
    <w:rsid w:val="02BD5381"/>
    <w:rsid w:val="02CE17E8"/>
    <w:rsid w:val="02D505AD"/>
    <w:rsid w:val="02EF2C78"/>
    <w:rsid w:val="034A325D"/>
    <w:rsid w:val="034E4AD1"/>
    <w:rsid w:val="037E0789"/>
    <w:rsid w:val="03A964DC"/>
    <w:rsid w:val="03CD7E04"/>
    <w:rsid w:val="04241DDC"/>
    <w:rsid w:val="04335DA6"/>
    <w:rsid w:val="047C2E20"/>
    <w:rsid w:val="04846602"/>
    <w:rsid w:val="04926F71"/>
    <w:rsid w:val="04934A97"/>
    <w:rsid w:val="049820AD"/>
    <w:rsid w:val="04CF1FA6"/>
    <w:rsid w:val="05187CD7"/>
    <w:rsid w:val="056E5657"/>
    <w:rsid w:val="05AC43F4"/>
    <w:rsid w:val="06163BD1"/>
    <w:rsid w:val="062C42CE"/>
    <w:rsid w:val="068A6E34"/>
    <w:rsid w:val="06B259C3"/>
    <w:rsid w:val="075410AD"/>
    <w:rsid w:val="0764271A"/>
    <w:rsid w:val="07670DE9"/>
    <w:rsid w:val="07994E3B"/>
    <w:rsid w:val="07A02A3F"/>
    <w:rsid w:val="07A40F48"/>
    <w:rsid w:val="07E0789C"/>
    <w:rsid w:val="07EB1CF4"/>
    <w:rsid w:val="080F08D8"/>
    <w:rsid w:val="0854758E"/>
    <w:rsid w:val="08992D34"/>
    <w:rsid w:val="09132265"/>
    <w:rsid w:val="0ABC363A"/>
    <w:rsid w:val="0AD8294B"/>
    <w:rsid w:val="0AF12517"/>
    <w:rsid w:val="0B397A56"/>
    <w:rsid w:val="0B4B3B00"/>
    <w:rsid w:val="0B82629A"/>
    <w:rsid w:val="0B8A23C1"/>
    <w:rsid w:val="0B9903D2"/>
    <w:rsid w:val="0BAE3813"/>
    <w:rsid w:val="0BC7297B"/>
    <w:rsid w:val="0BD04822"/>
    <w:rsid w:val="0C807FF6"/>
    <w:rsid w:val="0C953DB4"/>
    <w:rsid w:val="0CC442CE"/>
    <w:rsid w:val="0CF32576"/>
    <w:rsid w:val="0D374B59"/>
    <w:rsid w:val="0D4D2FC1"/>
    <w:rsid w:val="0DA25D4B"/>
    <w:rsid w:val="0E0362D5"/>
    <w:rsid w:val="0E966A8C"/>
    <w:rsid w:val="0EE61CD2"/>
    <w:rsid w:val="0F074C7E"/>
    <w:rsid w:val="0F580754"/>
    <w:rsid w:val="0F6D24BC"/>
    <w:rsid w:val="0F7D537E"/>
    <w:rsid w:val="0F803E6A"/>
    <w:rsid w:val="10007707"/>
    <w:rsid w:val="10817822"/>
    <w:rsid w:val="10A903E1"/>
    <w:rsid w:val="10CD1330"/>
    <w:rsid w:val="10D97CD5"/>
    <w:rsid w:val="11063FEA"/>
    <w:rsid w:val="113B44EC"/>
    <w:rsid w:val="113F222E"/>
    <w:rsid w:val="117864CE"/>
    <w:rsid w:val="11904838"/>
    <w:rsid w:val="11AB711C"/>
    <w:rsid w:val="11AC2382"/>
    <w:rsid w:val="11BB562D"/>
    <w:rsid w:val="11C42733"/>
    <w:rsid w:val="11CC3396"/>
    <w:rsid w:val="11CC5FDB"/>
    <w:rsid w:val="127C439D"/>
    <w:rsid w:val="12B409FA"/>
    <w:rsid w:val="12F015A0"/>
    <w:rsid w:val="12FE1529"/>
    <w:rsid w:val="134C3538"/>
    <w:rsid w:val="13984494"/>
    <w:rsid w:val="13AF03BF"/>
    <w:rsid w:val="13CB1888"/>
    <w:rsid w:val="13CB7DA9"/>
    <w:rsid w:val="141E22E5"/>
    <w:rsid w:val="14477BA7"/>
    <w:rsid w:val="146124BC"/>
    <w:rsid w:val="14F44982"/>
    <w:rsid w:val="15031585"/>
    <w:rsid w:val="1517701E"/>
    <w:rsid w:val="15245B82"/>
    <w:rsid w:val="15656E31"/>
    <w:rsid w:val="15B305AF"/>
    <w:rsid w:val="16005D04"/>
    <w:rsid w:val="169263C8"/>
    <w:rsid w:val="169F376F"/>
    <w:rsid w:val="16A61788"/>
    <w:rsid w:val="16CE195E"/>
    <w:rsid w:val="16E178E4"/>
    <w:rsid w:val="17666D47"/>
    <w:rsid w:val="177A5491"/>
    <w:rsid w:val="17AE0784"/>
    <w:rsid w:val="17C419C3"/>
    <w:rsid w:val="17F21A0E"/>
    <w:rsid w:val="18657359"/>
    <w:rsid w:val="187D3DBA"/>
    <w:rsid w:val="18820C52"/>
    <w:rsid w:val="18A22011"/>
    <w:rsid w:val="18BC4109"/>
    <w:rsid w:val="18C82B09"/>
    <w:rsid w:val="18E77AF5"/>
    <w:rsid w:val="190D49C0"/>
    <w:rsid w:val="193260E4"/>
    <w:rsid w:val="19793E03"/>
    <w:rsid w:val="197E58BE"/>
    <w:rsid w:val="19835197"/>
    <w:rsid w:val="198D5B01"/>
    <w:rsid w:val="19996254"/>
    <w:rsid w:val="199A25AF"/>
    <w:rsid w:val="19C702DF"/>
    <w:rsid w:val="1A4F2C83"/>
    <w:rsid w:val="1AD2708F"/>
    <w:rsid w:val="1ADA5BDA"/>
    <w:rsid w:val="1AE62F2F"/>
    <w:rsid w:val="1B291859"/>
    <w:rsid w:val="1B5F5046"/>
    <w:rsid w:val="1B803B6F"/>
    <w:rsid w:val="1B9509DF"/>
    <w:rsid w:val="1BA002D8"/>
    <w:rsid w:val="1BCA587C"/>
    <w:rsid w:val="1BF12377"/>
    <w:rsid w:val="1C0604EE"/>
    <w:rsid w:val="1C2E1D71"/>
    <w:rsid w:val="1C3D55BC"/>
    <w:rsid w:val="1CAC4347"/>
    <w:rsid w:val="1D0C4851"/>
    <w:rsid w:val="1D1C1092"/>
    <w:rsid w:val="1D605A5A"/>
    <w:rsid w:val="1DA76598"/>
    <w:rsid w:val="1DB57558"/>
    <w:rsid w:val="1DBC4C07"/>
    <w:rsid w:val="1DFD1285"/>
    <w:rsid w:val="1E4F5A7B"/>
    <w:rsid w:val="1EC70509"/>
    <w:rsid w:val="1EF1152D"/>
    <w:rsid w:val="1F4A0271"/>
    <w:rsid w:val="1F6D61B8"/>
    <w:rsid w:val="1F7F5EEC"/>
    <w:rsid w:val="1F901EA7"/>
    <w:rsid w:val="1FC7762D"/>
    <w:rsid w:val="1FF56C89"/>
    <w:rsid w:val="20360CA0"/>
    <w:rsid w:val="20733730"/>
    <w:rsid w:val="207B4905"/>
    <w:rsid w:val="20955535"/>
    <w:rsid w:val="20A83FAF"/>
    <w:rsid w:val="215025DE"/>
    <w:rsid w:val="217E28FF"/>
    <w:rsid w:val="21CC717D"/>
    <w:rsid w:val="21FB192E"/>
    <w:rsid w:val="22424AA4"/>
    <w:rsid w:val="22B660C8"/>
    <w:rsid w:val="22F62B8A"/>
    <w:rsid w:val="23254D08"/>
    <w:rsid w:val="23343DB4"/>
    <w:rsid w:val="23534E2B"/>
    <w:rsid w:val="238A0099"/>
    <w:rsid w:val="23C86484"/>
    <w:rsid w:val="23F453AC"/>
    <w:rsid w:val="241C01AD"/>
    <w:rsid w:val="242157C3"/>
    <w:rsid w:val="242C02D7"/>
    <w:rsid w:val="24533DC2"/>
    <w:rsid w:val="253024AD"/>
    <w:rsid w:val="2532334D"/>
    <w:rsid w:val="258C17E7"/>
    <w:rsid w:val="259F2E44"/>
    <w:rsid w:val="25A51DF6"/>
    <w:rsid w:val="262034AF"/>
    <w:rsid w:val="26750FF7"/>
    <w:rsid w:val="268F110A"/>
    <w:rsid w:val="26E96B7F"/>
    <w:rsid w:val="27005C27"/>
    <w:rsid w:val="270B45D7"/>
    <w:rsid w:val="27194423"/>
    <w:rsid w:val="27290FC5"/>
    <w:rsid w:val="275A1F7C"/>
    <w:rsid w:val="275D4D64"/>
    <w:rsid w:val="28FE41FC"/>
    <w:rsid w:val="292F2731"/>
    <w:rsid w:val="29345C52"/>
    <w:rsid w:val="295166A2"/>
    <w:rsid w:val="298F67F1"/>
    <w:rsid w:val="2996274E"/>
    <w:rsid w:val="29A7676B"/>
    <w:rsid w:val="2A187669"/>
    <w:rsid w:val="2A4648B7"/>
    <w:rsid w:val="2A8F792B"/>
    <w:rsid w:val="2AEF273F"/>
    <w:rsid w:val="2B005440"/>
    <w:rsid w:val="2B006F1E"/>
    <w:rsid w:val="2B367DA6"/>
    <w:rsid w:val="2BC96E6C"/>
    <w:rsid w:val="2C03574A"/>
    <w:rsid w:val="2C0F2F6A"/>
    <w:rsid w:val="2C7B3B05"/>
    <w:rsid w:val="2C9878F1"/>
    <w:rsid w:val="2CC277F5"/>
    <w:rsid w:val="2CCD64E8"/>
    <w:rsid w:val="2CD01D46"/>
    <w:rsid w:val="2CDD22AB"/>
    <w:rsid w:val="2CF558C1"/>
    <w:rsid w:val="2CFD71B2"/>
    <w:rsid w:val="2D263D7D"/>
    <w:rsid w:val="2DDD6EF4"/>
    <w:rsid w:val="2DEA4E78"/>
    <w:rsid w:val="2E2B7074"/>
    <w:rsid w:val="2E5E7AF7"/>
    <w:rsid w:val="2E9D013C"/>
    <w:rsid w:val="2EE73822"/>
    <w:rsid w:val="2F1E74CF"/>
    <w:rsid w:val="2F4709E3"/>
    <w:rsid w:val="2F9B28BE"/>
    <w:rsid w:val="2FAD4FD9"/>
    <w:rsid w:val="2FB346FB"/>
    <w:rsid w:val="2FEE50F3"/>
    <w:rsid w:val="2FFA5778"/>
    <w:rsid w:val="30441A12"/>
    <w:rsid w:val="30495C84"/>
    <w:rsid w:val="30650005"/>
    <w:rsid w:val="310333AD"/>
    <w:rsid w:val="311C17EC"/>
    <w:rsid w:val="31367EA1"/>
    <w:rsid w:val="31522189"/>
    <w:rsid w:val="31C0661C"/>
    <w:rsid w:val="31EE27EE"/>
    <w:rsid w:val="31F91B2E"/>
    <w:rsid w:val="329E6CD8"/>
    <w:rsid w:val="32A83BE9"/>
    <w:rsid w:val="33150BE9"/>
    <w:rsid w:val="33440753"/>
    <w:rsid w:val="337551E4"/>
    <w:rsid w:val="33773E42"/>
    <w:rsid w:val="3381627F"/>
    <w:rsid w:val="345179FF"/>
    <w:rsid w:val="34567B88"/>
    <w:rsid w:val="346314E0"/>
    <w:rsid w:val="349618B6"/>
    <w:rsid w:val="34A57D4B"/>
    <w:rsid w:val="34CB0B62"/>
    <w:rsid w:val="34E14EA2"/>
    <w:rsid w:val="34E346A0"/>
    <w:rsid w:val="35062A17"/>
    <w:rsid w:val="35494B7A"/>
    <w:rsid w:val="356B4AF0"/>
    <w:rsid w:val="359758E5"/>
    <w:rsid w:val="359B1151"/>
    <w:rsid w:val="35AD49A2"/>
    <w:rsid w:val="35F03248"/>
    <w:rsid w:val="36172BC3"/>
    <w:rsid w:val="362804CC"/>
    <w:rsid w:val="36501005"/>
    <w:rsid w:val="36625EF3"/>
    <w:rsid w:val="36CC7C95"/>
    <w:rsid w:val="36EA20AF"/>
    <w:rsid w:val="36EB650A"/>
    <w:rsid w:val="37135440"/>
    <w:rsid w:val="372413FB"/>
    <w:rsid w:val="376149D7"/>
    <w:rsid w:val="378133A9"/>
    <w:rsid w:val="37A6339A"/>
    <w:rsid w:val="37AC319E"/>
    <w:rsid w:val="380C578B"/>
    <w:rsid w:val="382E4D8D"/>
    <w:rsid w:val="383A233E"/>
    <w:rsid w:val="389B008E"/>
    <w:rsid w:val="38C73172"/>
    <w:rsid w:val="38EE1CC0"/>
    <w:rsid w:val="39101F1B"/>
    <w:rsid w:val="392D7EB3"/>
    <w:rsid w:val="393618B9"/>
    <w:rsid w:val="39720FC7"/>
    <w:rsid w:val="398443D3"/>
    <w:rsid w:val="39B203A1"/>
    <w:rsid w:val="39BA4298"/>
    <w:rsid w:val="39CD52E9"/>
    <w:rsid w:val="39ED2D0E"/>
    <w:rsid w:val="39FC21BB"/>
    <w:rsid w:val="3A0D2A18"/>
    <w:rsid w:val="3A1B59B7"/>
    <w:rsid w:val="3A30175E"/>
    <w:rsid w:val="3A323E2F"/>
    <w:rsid w:val="3A64388F"/>
    <w:rsid w:val="3B0B043D"/>
    <w:rsid w:val="3B4E4C98"/>
    <w:rsid w:val="3B606C7C"/>
    <w:rsid w:val="3B6F13E2"/>
    <w:rsid w:val="3B8F6DC0"/>
    <w:rsid w:val="3BDF2457"/>
    <w:rsid w:val="3BE253E0"/>
    <w:rsid w:val="3C2519AA"/>
    <w:rsid w:val="3C4E0CC8"/>
    <w:rsid w:val="3C7D5D17"/>
    <w:rsid w:val="3CAB7EC8"/>
    <w:rsid w:val="3CD236A7"/>
    <w:rsid w:val="3D23372C"/>
    <w:rsid w:val="3D600CB3"/>
    <w:rsid w:val="3DF31B27"/>
    <w:rsid w:val="3DF80C94"/>
    <w:rsid w:val="3E064F5A"/>
    <w:rsid w:val="3E161B6B"/>
    <w:rsid w:val="3E7F5998"/>
    <w:rsid w:val="3ECD2378"/>
    <w:rsid w:val="3EF01478"/>
    <w:rsid w:val="3F0056DB"/>
    <w:rsid w:val="3F185CE9"/>
    <w:rsid w:val="3F1A3023"/>
    <w:rsid w:val="3F243A9D"/>
    <w:rsid w:val="3F5860E5"/>
    <w:rsid w:val="3F6820A1"/>
    <w:rsid w:val="3FA7706D"/>
    <w:rsid w:val="3FE1257F"/>
    <w:rsid w:val="4001677D"/>
    <w:rsid w:val="400C5122"/>
    <w:rsid w:val="40350295"/>
    <w:rsid w:val="403723ED"/>
    <w:rsid w:val="406E1D8D"/>
    <w:rsid w:val="40C377CE"/>
    <w:rsid w:val="4104239D"/>
    <w:rsid w:val="41401AF8"/>
    <w:rsid w:val="415B709A"/>
    <w:rsid w:val="41A35612"/>
    <w:rsid w:val="41B17D2F"/>
    <w:rsid w:val="41BB6E00"/>
    <w:rsid w:val="42053C57"/>
    <w:rsid w:val="42214BD9"/>
    <w:rsid w:val="42246753"/>
    <w:rsid w:val="42324DFA"/>
    <w:rsid w:val="424961B9"/>
    <w:rsid w:val="42791D7B"/>
    <w:rsid w:val="42E4524A"/>
    <w:rsid w:val="431353F3"/>
    <w:rsid w:val="432B58BF"/>
    <w:rsid w:val="43332EF2"/>
    <w:rsid w:val="43397FDC"/>
    <w:rsid w:val="43455446"/>
    <w:rsid w:val="436F4174"/>
    <w:rsid w:val="43BF62B5"/>
    <w:rsid w:val="43DE0DC5"/>
    <w:rsid w:val="446339C7"/>
    <w:rsid w:val="44DA072F"/>
    <w:rsid w:val="451A0072"/>
    <w:rsid w:val="454D0F8E"/>
    <w:rsid w:val="456C2437"/>
    <w:rsid w:val="45E05087"/>
    <w:rsid w:val="45ED3300"/>
    <w:rsid w:val="45F61C6A"/>
    <w:rsid w:val="45FC0A54"/>
    <w:rsid w:val="45FE572D"/>
    <w:rsid w:val="46182559"/>
    <w:rsid w:val="461D469A"/>
    <w:rsid w:val="466976E6"/>
    <w:rsid w:val="46B8390E"/>
    <w:rsid w:val="46CD0E89"/>
    <w:rsid w:val="46DD0C7A"/>
    <w:rsid w:val="46EA0CE7"/>
    <w:rsid w:val="47022DDB"/>
    <w:rsid w:val="470D4256"/>
    <w:rsid w:val="472208AE"/>
    <w:rsid w:val="47271A40"/>
    <w:rsid w:val="47704C41"/>
    <w:rsid w:val="479A2435"/>
    <w:rsid w:val="47A67C0A"/>
    <w:rsid w:val="47B925F3"/>
    <w:rsid w:val="480F755D"/>
    <w:rsid w:val="488A12DA"/>
    <w:rsid w:val="48910AEC"/>
    <w:rsid w:val="48B3170D"/>
    <w:rsid w:val="48C52312"/>
    <w:rsid w:val="493C7DE9"/>
    <w:rsid w:val="49731D6E"/>
    <w:rsid w:val="49885819"/>
    <w:rsid w:val="49BD5661"/>
    <w:rsid w:val="4A1E13B4"/>
    <w:rsid w:val="4A2C49B0"/>
    <w:rsid w:val="4A555101"/>
    <w:rsid w:val="4A7D1B0F"/>
    <w:rsid w:val="4AA3517B"/>
    <w:rsid w:val="4AAC50D1"/>
    <w:rsid w:val="4B5D2903"/>
    <w:rsid w:val="4C0B03D0"/>
    <w:rsid w:val="4C5A2B74"/>
    <w:rsid w:val="4D2D20D9"/>
    <w:rsid w:val="4D436182"/>
    <w:rsid w:val="4D45598D"/>
    <w:rsid w:val="4DA074F7"/>
    <w:rsid w:val="4DA33F07"/>
    <w:rsid w:val="4DB210B7"/>
    <w:rsid w:val="4DD126F1"/>
    <w:rsid w:val="4DDA060D"/>
    <w:rsid w:val="4DDE52C0"/>
    <w:rsid w:val="4E01203E"/>
    <w:rsid w:val="4E086E18"/>
    <w:rsid w:val="4E6A7057"/>
    <w:rsid w:val="4ECC7F56"/>
    <w:rsid w:val="4ECE44E0"/>
    <w:rsid w:val="4F44601A"/>
    <w:rsid w:val="4F820F5D"/>
    <w:rsid w:val="4F8E345D"/>
    <w:rsid w:val="50243DC2"/>
    <w:rsid w:val="5080549C"/>
    <w:rsid w:val="50A1397F"/>
    <w:rsid w:val="50EC0741"/>
    <w:rsid w:val="50F32112"/>
    <w:rsid w:val="50F87728"/>
    <w:rsid w:val="51257DF2"/>
    <w:rsid w:val="51401959"/>
    <w:rsid w:val="51581F75"/>
    <w:rsid w:val="51583D23"/>
    <w:rsid w:val="51C75DFE"/>
    <w:rsid w:val="51F24178"/>
    <w:rsid w:val="52217827"/>
    <w:rsid w:val="52424793"/>
    <w:rsid w:val="52741FCB"/>
    <w:rsid w:val="527E1EAF"/>
    <w:rsid w:val="52D06B10"/>
    <w:rsid w:val="52EE38DF"/>
    <w:rsid w:val="532F4F57"/>
    <w:rsid w:val="53536515"/>
    <w:rsid w:val="5358785F"/>
    <w:rsid w:val="536B21BA"/>
    <w:rsid w:val="53A862CC"/>
    <w:rsid w:val="53C438F2"/>
    <w:rsid w:val="542A0FDA"/>
    <w:rsid w:val="547A6F15"/>
    <w:rsid w:val="54A12DC7"/>
    <w:rsid w:val="54AB4AB2"/>
    <w:rsid w:val="54BA4CF5"/>
    <w:rsid w:val="54CE1930"/>
    <w:rsid w:val="54ED53D0"/>
    <w:rsid w:val="55091CCC"/>
    <w:rsid w:val="5549554B"/>
    <w:rsid w:val="556C4241"/>
    <w:rsid w:val="558620D2"/>
    <w:rsid w:val="55A559A5"/>
    <w:rsid w:val="55BD4A9D"/>
    <w:rsid w:val="55E34225"/>
    <w:rsid w:val="562E599A"/>
    <w:rsid w:val="56307253"/>
    <w:rsid w:val="56382375"/>
    <w:rsid w:val="56453199"/>
    <w:rsid w:val="56705FB3"/>
    <w:rsid w:val="56E16569"/>
    <w:rsid w:val="56F52014"/>
    <w:rsid w:val="570C5CDB"/>
    <w:rsid w:val="57723665"/>
    <w:rsid w:val="578C5187"/>
    <w:rsid w:val="57947A7F"/>
    <w:rsid w:val="57B2722D"/>
    <w:rsid w:val="57D56221"/>
    <w:rsid w:val="582F6DAB"/>
    <w:rsid w:val="58AD45AF"/>
    <w:rsid w:val="58BF28DA"/>
    <w:rsid w:val="58C16652"/>
    <w:rsid w:val="58D4718C"/>
    <w:rsid w:val="59162E41"/>
    <w:rsid w:val="591C7D2C"/>
    <w:rsid w:val="59575208"/>
    <w:rsid w:val="599B3347"/>
    <w:rsid w:val="59A53FC9"/>
    <w:rsid w:val="59A82CA5"/>
    <w:rsid w:val="59AC10B0"/>
    <w:rsid w:val="5A45201E"/>
    <w:rsid w:val="5A6776CD"/>
    <w:rsid w:val="5AD20FEA"/>
    <w:rsid w:val="5AD536B4"/>
    <w:rsid w:val="5ADF7263"/>
    <w:rsid w:val="5AEA4CCC"/>
    <w:rsid w:val="5B031B11"/>
    <w:rsid w:val="5B44356A"/>
    <w:rsid w:val="5B562681"/>
    <w:rsid w:val="5B7B3430"/>
    <w:rsid w:val="5B96574B"/>
    <w:rsid w:val="5BC07095"/>
    <w:rsid w:val="5BE81608"/>
    <w:rsid w:val="5C10686F"/>
    <w:rsid w:val="5C384E7D"/>
    <w:rsid w:val="5C390BF5"/>
    <w:rsid w:val="5C3D6937"/>
    <w:rsid w:val="5C5A652B"/>
    <w:rsid w:val="5C6A2B81"/>
    <w:rsid w:val="5C841E70"/>
    <w:rsid w:val="5C8C6F1F"/>
    <w:rsid w:val="5CE53377"/>
    <w:rsid w:val="5CE565AC"/>
    <w:rsid w:val="5D290C69"/>
    <w:rsid w:val="5DB449D7"/>
    <w:rsid w:val="5DD07337"/>
    <w:rsid w:val="5DE138D8"/>
    <w:rsid w:val="5DEA73A2"/>
    <w:rsid w:val="5E113BD7"/>
    <w:rsid w:val="5E1921ED"/>
    <w:rsid w:val="5E5D6E1D"/>
    <w:rsid w:val="5E9F5687"/>
    <w:rsid w:val="5EB822A5"/>
    <w:rsid w:val="5EFE7A06"/>
    <w:rsid w:val="5F426012"/>
    <w:rsid w:val="5F7D5E8E"/>
    <w:rsid w:val="5F7F522A"/>
    <w:rsid w:val="5FAF36A8"/>
    <w:rsid w:val="5FF3732F"/>
    <w:rsid w:val="601337BB"/>
    <w:rsid w:val="604A33D1"/>
    <w:rsid w:val="614918DA"/>
    <w:rsid w:val="614F54B5"/>
    <w:rsid w:val="621041A6"/>
    <w:rsid w:val="62257C51"/>
    <w:rsid w:val="624274A0"/>
    <w:rsid w:val="624A76B8"/>
    <w:rsid w:val="62A87E16"/>
    <w:rsid w:val="62CA561A"/>
    <w:rsid w:val="6313315F"/>
    <w:rsid w:val="63CD6C1F"/>
    <w:rsid w:val="64A56430"/>
    <w:rsid w:val="64AA193A"/>
    <w:rsid w:val="64CD45D0"/>
    <w:rsid w:val="653F59A1"/>
    <w:rsid w:val="65774F85"/>
    <w:rsid w:val="65815AE7"/>
    <w:rsid w:val="658B24C1"/>
    <w:rsid w:val="658D1CF4"/>
    <w:rsid w:val="65B81F72"/>
    <w:rsid w:val="65BB2793"/>
    <w:rsid w:val="65E72A9D"/>
    <w:rsid w:val="667016B7"/>
    <w:rsid w:val="667027CF"/>
    <w:rsid w:val="66811B16"/>
    <w:rsid w:val="6688694C"/>
    <w:rsid w:val="66D02156"/>
    <w:rsid w:val="66FB3677"/>
    <w:rsid w:val="6716225F"/>
    <w:rsid w:val="67D85766"/>
    <w:rsid w:val="67FF33DC"/>
    <w:rsid w:val="681D761D"/>
    <w:rsid w:val="68245589"/>
    <w:rsid w:val="682D3D04"/>
    <w:rsid w:val="686E1C26"/>
    <w:rsid w:val="68777DD2"/>
    <w:rsid w:val="68D91796"/>
    <w:rsid w:val="690E1BE8"/>
    <w:rsid w:val="692755DB"/>
    <w:rsid w:val="69362DD6"/>
    <w:rsid w:val="697F058F"/>
    <w:rsid w:val="69983CE0"/>
    <w:rsid w:val="6A1C1694"/>
    <w:rsid w:val="6A4315BC"/>
    <w:rsid w:val="6A751DB0"/>
    <w:rsid w:val="6A9E2C97"/>
    <w:rsid w:val="6AB95533"/>
    <w:rsid w:val="6ADC67EC"/>
    <w:rsid w:val="6AE21FF0"/>
    <w:rsid w:val="6B037E0E"/>
    <w:rsid w:val="6B144E28"/>
    <w:rsid w:val="6B2018FE"/>
    <w:rsid w:val="6B396B3B"/>
    <w:rsid w:val="6BDE41BB"/>
    <w:rsid w:val="6BE9361A"/>
    <w:rsid w:val="6BEE7306"/>
    <w:rsid w:val="6C44786E"/>
    <w:rsid w:val="6C5462A8"/>
    <w:rsid w:val="6C917FD7"/>
    <w:rsid w:val="6CA87DFD"/>
    <w:rsid w:val="6D911E54"/>
    <w:rsid w:val="6D9E4D5C"/>
    <w:rsid w:val="6DB2091A"/>
    <w:rsid w:val="6DCC3677"/>
    <w:rsid w:val="6E470176"/>
    <w:rsid w:val="6E6C4E5A"/>
    <w:rsid w:val="6EAA68BE"/>
    <w:rsid w:val="6EDB46DC"/>
    <w:rsid w:val="6EFC6F14"/>
    <w:rsid w:val="6F0155A2"/>
    <w:rsid w:val="6F7F5C40"/>
    <w:rsid w:val="6F997ED1"/>
    <w:rsid w:val="6FF62C2D"/>
    <w:rsid w:val="70635EE3"/>
    <w:rsid w:val="709D754D"/>
    <w:rsid w:val="70D65056"/>
    <w:rsid w:val="70F839F0"/>
    <w:rsid w:val="70FA04FB"/>
    <w:rsid w:val="712D08D1"/>
    <w:rsid w:val="71382C2B"/>
    <w:rsid w:val="71BB7860"/>
    <w:rsid w:val="722F17E6"/>
    <w:rsid w:val="72440385"/>
    <w:rsid w:val="72F64258"/>
    <w:rsid w:val="731A162D"/>
    <w:rsid w:val="736C3AED"/>
    <w:rsid w:val="73761484"/>
    <w:rsid w:val="743F3C99"/>
    <w:rsid w:val="74835482"/>
    <w:rsid w:val="74877DC7"/>
    <w:rsid w:val="748F53FE"/>
    <w:rsid w:val="74DD616A"/>
    <w:rsid w:val="74EB6FEC"/>
    <w:rsid w:val="74F80974"/>
    <w:rsid w:val="75090455"/>
    <w:rsid w:val="7520560E"/>
    <w:rsid w:val="75890D8F"/>
    <w:rsid w:val="75B043EA"/>
    <w:rsid w:val="75B4336E"/>
    <w:rsid w:val="76473B19"/>
    <w:rsid w:val="76553EEB"/>
    <w:rsid w:val="76B80876"/>
    <w:rsid w:val="76B949B4"/>
    <w:rsid w:val="76D90F68"/>
    <w:rsid w:val="770B16B4"/>
    <w:rsid w:val="775A1CF3"/>
    <w:rsid w:val="77680E8A"/>
    <w:rsid w:val="77C1540B"/>
    <w:rsid w:val="77D61377"/>
    <w:rsid w:val="77DD1CAC"/>
    <w:rsid w:val="77EC2A14"/>
    <w:rsid w:val="783E7320"/>
    <w:rsid w:val="78425A99"/>
    <w:rsid w:val="788039DC"/>
    <w:rsid w:val="78952D76"/>
    <w:rsid w:val="78A64529"/>
    <w:rsid w:val="78CB19C0"/>
    <w:rsid w:val="78F35EFE"/>
    <w:rsid w:val="78FF5669"/>
    <w:rsid w:val="792A1B99"/>
    <w:rsid w:val="793275BA"/>
    <w:rsid w:val="79A724F1"/>
    <w:rsid w:val="79FD047F"/>
    <w:rsid w:val="7A4B7878"/>
    <w:rsid w:val="7A6D100D"/>
    <w:rsid w:val="7A7B26AD"/>
    <w:rsid w:val="7AA15E8B"/>
    <w:rsid w:val="7BE14791"/>
    <w:rsid w:val="7C0D37D8"/>
    <w:rsid w:val="7C3A7485"/>
    <w:rsid w:val="7C5F16F8"/>
    <w:rsid w:val="7C6B1F31"/>
    <w:rsid w:val="7C75312C"/>
    <w:rsid w:val="7C9D3E10"/>
    <w:rsid w:val="7CAF2E48"/>
    <w:rsid w:val="7CB122FF"/>
    <w:rsid w:val="7CD95DB0"/>
    <w:rsid w:val="7D697134"/>
    <w:rsid w:val="7D6C09D3"/>
    <w:rsid w:val="7DBA67DE"/>
    <w:rsid w:val="7DF53ACA"/>
    <w:rsid w:val="7E2458E7"/>
    <w:rsid w:val="7EA2525B"/>
    <w:rsid w:val="7EF7251E"/>
    <w:rsid w:val="7F084409"/>
    <w:rsid w:val="7F0E4C61"/>
    <w:rsid w:val="7F2552DD"/>
    <w:rsid w:val="7F356741"/>
    <w:rsid w:val="7F7F4C0B"/>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customStyle="1" w:styleId="3">
    <w:name w:val="图片样式"/>
    <w:basedOn w:val="1"/>
    <w:qFormat/>
    <w:uiPriority w:val="0"/>
    <w:pPr>
      <w:pBdr>
        <w:top w:val="none" w:color="auto" w:sz="0" w:space="1"/>
        <w:left w:val="none" w:color="auto" w:sz="0" w:space="4"/>
        <w:bottom w:val="none" w:color="auto" w:sz="0" w:space="1"/>
        <w:right w:val="none" w:color="auto" w:sz="0" w:space="4"/>
      </w:pBdr>
      <w:spacing w:line="360" w:lineRule="auto"/>
      <w:jc w:val="center"/>
    </w:pPr>
    <w:rPr>
      <w:rFonts w:hint="eastAsia" w:ascii="微软雅黑" w:hAnsi="微软雅黑" w:eastAsia="微软雅黑" w:cstheme="minorBidi"/>
      <w:bCs/>
      <w:sz w:val="24"/>
      <w:szCs w:val="48"/>
    </w:rPr>
  </w:style>
  <w:style w:type="paragraph" w:styleId="5">
    <w:name w:val="Note Heading"/>
    <w:basedOn w:val="1"/>
    <w:next w:val="1"/>
    <w:qFormat/>
    <w:uiPriority w:val="0"/>
    <w:rPr>
      <w:rFonts w:ascii="Verdana" w:hAnsi="Verdana"/>
      <w:szCs w:val="20"/>
    </w:rPr>
  </w:style>
  <w:style w:type="paragraph" w:styleId="6">
    <w:name w:val="Normal Indent"/>
    <w:basedOn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rPr>
      <w:rFonts w:ascii="楷体_GB2312" w:hAnsi="Arial" w:eastAsia="楷体_GB2312"/>
      <w:sz w:val="28"/>
      <w:szCs w:val="20"/>
    </w:rPr>
  </w:style>
  <w:style w:type="paragraph" w:customStyle="1" w:styleId="9">
    <w:name w:val="一级条标题"/>
    <w:basedOn w:val="10"/>
    <w:next w:val="11"/>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10">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11">
    <w:name w:val="段"/>
    <w:next w:val="1"/>
    <w:qFormat/>
    <w:uiPriority w:val="99"/>
    <w:pPr>
      <w:widowControl w:val="0"/>
      <w:ind w:firstLine="200"/>
      <w:jc w:val="both"/>
    </w:pPr>
    <w:rPr>
      <w:rFonts w:ascii="宋体" w:hAnsi="宋体" w:eastAsia="宋体" w:cs="宋体"/>
      <w:color w:val="000000"/>
      <w:sz w:val="21"/>
      <w:szCs w:val="21"/>
      <w:lang w:val="en-US" w:eastAsia="zh-CN" w:bidi="ar-SA"/>
    </w:rPr>
  </w:style>
  <w:style w:type="paragraph" w:styleId="12">
    <w:name w:val="List 2"/>
    <w:basedOn w:val="1"/>
    <w:qFormat/>
    <w:uiPriority w:val="99"/>
    <w:pPr>
      <w:ind w:left="100" w:leftChars="200" w:hanging="200" w:hangingChars="200"/>
    </w:pPr>
    <w:rPr>
      <w:szCs w:val="21"/>
    </w:rPr>
  </w:style>
  <w:style w:type="paragraph" w:styleId="13">
    <w:name w:val="Plain Text"/>
    <w:basedOn w:val="1"/>
    <w:qFormat/>
    <w:uiPriority w:val="0"/>
    <w:rPr>
      <w:rFonts w:ascii="宋体" w:hAnsi="Courier New"/>
      <w:szCs w:val="20"/>
    </w:rPr>
  </w:style>
  <w:style w:type="paragraph" w:styleId="14">
    <w:name w:val="footer"/>
    <w:basedOn w:val="1"/>
    <w:link w:val="23"/>
    <w:autoRedefine/>
    <w:qFormat/>
    <w:uiPriority w:val="0"/>
    <w:pPr>
      <w:tabs>
        <w:tab w:val="center" w:pos="4153"/>
        <w:tab w:val="right" w:pos="8306"/>
      </w:tabs>
      <w:snapToGrid w:val="0"/>
      <w:jc w:val="left"/>
    </w:pPr>
    <w:rPr>
      <w:sz w:val="18"/>
      <w:szCs w:val="18"/>
    </w:rPr>
  </w:style>
  <w:style w:type="paragraph" w:styleId="15">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Normal (Web)"/>
    <w:basedOn w:val="1"/>
    <w:autoRedefine/>
    <w:qFormat/>
    <w:uiPriority w:val="0"/>
    <w:pPr>
      <w:spacing w:beforeAutospacing="1" w:afterAutospacing="1"/>
      <w:jc w:val="left"/>
    </w:pPr>
    <w:rPr>
      <w:rFonts w:cs="Times New Roman"/>
      <w:kern w:val="0"/>
      <w:sz w:val="24"/>
    </w:r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page number"/>
    <w:qFormat/>
    <w:uiPriority w:val="0"/>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Char"/>
    <w:basedOn w:val="19"/>
    <w:link w:val="15"/>
    <w:autoRedefine/>
    <w:qFormat/>
    <w:uiPriority w:val="0"/>
    <w:rPr>
      <w:rFonts w:asciiTheme="minorHAnsi" w:hAnsiTheme="minorHAnsi" w:eastAsiaTheme="minorEastAsia" w:cstheme="minorBidi"/>
      <w:kern w:val="2"/>
      <w:sz w:val="18"/>
      <w:szCs w:val="18"/>
    </w:rPr>
  </w:style>
  <w:style w:type="character" w:customStyle="1" w:styleId="23">
    <w:name w:val="页脚 Char"/>
    <w:basedOn w:val="19"/>
    <w:link w:val="14"/>
    <w:autoRedefine/>
    <w:qFormat/>
    <w:uiPriority w:val="0"/>
    <w:rPr>
      <w:rFonts w:asciiTheme="minorHAnsi" w:hAnsiTheme="minorHAnsi" w:eastAsiaTheme="minorEastAsia" w:cstheme="minorBidi"/>
      <w:kern w:val="2"/>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正文文本 21"/>
    <w:basedOn w:val="1"/>
    <w:qFormat/>
    <w:uiPriority w:val="0"/>
    <w:pPr>
      <w:jc w:val="center"/>
    </w:pPr>
    <w:rPr>
      <w:rFonts w:ascii="仿宋_GB2312" w:eastAsia="仿宋_GB2312"/>
      <w:sz w:val="44"/>
    </w:rPr>
  </w:style>
  <w:style w:type="paragraph" w:customStyle="1" w:styleId="28">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9">
    <w:name w:val="NormalCharacter"/>
    <w:semiHidden/>
    <w:qFormat/>
    <w:uiPriority w:val="0"/>
  </w:style>
  <w:style w:type="paragraph" w:customStyle="1" w:styleId="30">
    <w:name w:val="正文1"/>
    <w:qFormat/>
    <w:uiPriority w:val="99"/>
    <w:pPr>
      <w:spacing w:after="160" w:line="278" w:lineRule="auto"/>
      <w:jc w:val="both"/>
    </w:pPr>
    <w:rPr>
      <w:rFonts w:ascii="Times New Roman" w:hAnsi="Times New Roman" w:eastAsia="宋体" w:cs="Times New Roman"/>
      <w:sz w:val="21"/>
      <w:szCs w:val="21"/>
      <w:lang w:val="en-US" w:eastAsia="zh-CN" w:bidi="ar-SA"/>
    </w:rPr>
  </w:style>
  <w:style w:type="character" w:customStyle="1" w:styleId="31">
    <w:name w:val="apple-converted-space"/>
    <w:basedOn w:val="19"/>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64</Pages>
  <Words>3003</Words>
  <Characters>3355</Characters>
  <Lines>173</Lines>
  <Paragraphs>48</Paragraphs>
  <TotalTime>19</TotalTime>
  <ScaleCrop>false</ScaleCrop>
  <LinksUpToDate>false</LinksUpToDate>
  <CharactersWithSpaces>3498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顾莹</cp:lastModifiedBy>
  <dcterms:modified xsi:type="dcterms:W3CDTF">2025-11-25T02:01:34Z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13A8A34D74D44BFA8232E132C3FC163A_13</vt:lpwstr>
  </property>
  <property fmtid="{D5CDD505-2E9C-101B-9397-08002B2CF9AE}" pid="4" name="KSOTemplateDocerSaveRecord">
    <vt:lpwstr>eyJoZGlkIjoiNWE3ZWEyZTBmNDU4ZDBkYjlmYzZiN2RjNDExNzkyNGEiLCJ1c2VySWQiOiIxNTMyMDE2NDg2In0=</vt:lpwstr>
  </property>
</Properties>
</file>